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F3" w:rsidRDefault="00014FF3" w:rsidP="00014FF3">
      <w:pPr>
        <w:widowControl w:val="0"/>
        <w:tabs>
          <w:tab w:val="left" w:pos="4044"/>
          <w:tab w:val="center" w:pos="4960"/>
        </w:tabs>
        <w:autoSpaceDE w:val="0"/>
        <w:autoSpaceDN w:val="0"/>
        <w:adjustRightInd w:val="0"/>
        <w:jc w:val="right"/>
        <w:rPr>
          <w:sz w:val="28"/>
          <w:szCs w:val="28"/>
        </w:rPr>
      </w:pPr>
    </w:p>
    <w:p w:rsidR="00014FF3" w:rsidRPr="00014FF3" w:rsidRDefault="00014FF3" w:rsidP="00014FF3">
      <w:pPr>
        <w:widowControl w:val="0"/>
        <w:tabs>
          <w:tab w:val="left" w:pos="4044"/>
          <w:tab w:val="center" w:pos="4960"/>
        </w:tabs>
        <w:autoSpaceDE w:val="0"/>
        <w:autoSpaceDN w:val="0"/>
        <w:adjustRightInd w:val="0"/>
        <w:jc w:val="right"/>
        <w:rPr>
          <w:sz w:val="20"/>
          <w:szCs w:val="20"/>
        </w:rPr>
      </w:pPr>
      <w:r w:rsidRPr="00014FF3">
        <w:rPr>
          <w:sz w:val="20"/>
          <w:szCs w:val="20"/>
        </w:rPr>
        <w:t xml:space="preserve">Приложение № </w:t>
      </w:r>
      <w:r w:rsidR="002E0FA7">
        <w:rPr>
          <w:sz w:val="20"/>
          <w:szCs w:val="20"/>
        </w:rPr>
        <w:t>2</w:t>
      </w:r>
      <w:r w:rsidRPr="00014FF3">
        <w:rPr>
          <w:sz w:val="20"/>
          <w:szCs w:val="20"/>
        </w:rPr>
        <w:t xml:space="preserve"> </w:t>
      </w:r>
    </w:p>
    <w:p w:rsidR="00AE4B37" w:rsidRDefault="00014FF3" w:rsidP="00014FF3">
      <w:pPr>
        <w:widowControl w:val="0"/>
        <w:tabs>
          <w:tab w:val="left" w:pos="4044"/>
          <w:tab w:val="center" w:pos="4960"/>
        </w:tabs>
        <w:autoSpaceDE w:val="0"/>
        <w:autoSpaceDN w:val="0"/>
        <w:adjustRightInd w:val="0"/>
        <w:jc w:val="right"/>
        <w:rPr>
          <w:sz w:val="28"/>
          <w:szCs w:val="28"/>
        </w:rPr>
      </w:pPr>
      <w:r w:rsidRPr="00014FF3">
        <w:rPr>
          <w:sz w:val="20"/>
          <w:szCs w:val="20"/>
        </w:rPr>
        <w:t>к договору транспортной экспедиции №_____от ______</w:t>
      </w:r>
    </w:p>
    <w:p w:rsidR="00014FF3" w:rsidRPr="00014FF3" w:rsidRDefault="00014FF3" w:rsidP="008F4AFB">
      <w:pPr>
        <w:pStyle w:val="Default"/>
        <w:jc w:val="center"/>
        <w:rPr>
          <w:rFonts w:ascii="Times New Roman" w:hAnsi="Times New Roman" w:cs="Times New Roman"/>
          <w:sz w:val="28"/>
          <w:szCs w:val="28"/>
        </w:rPr>
      </w:pPr>
      <w:r w:rsidRPr="00014FF3">
        <w:rPr>
          <w:rFonts w:ascii="Times New Roman" w:hAnsi="Times New Roman" w:cs="Times New Roman"/>
          <w:sz w:val="28"/>
          <w:szCs w:val="28"/>
        </w:rPr>
        <w:t xml:space="preserve">Техническое задание                                         </w:t>
      </w:r>
    </w:p>
    <w:p w:rsidR="008F4AFB" w:rsidRPr="00014FF3" w:rsidRDefault="00014FF3" w:rsidP="008F4AFB">
      <w:pPr>
        <w:pStyle w:val="Default"/>
        <w:jc w:val="center"/>
        <w:rPr>
          <w:rFonts w:ascii="Times New Roman" w:hAnsi="Times New Roman" w:cs="Times New Roman"/>
          <w:b/>
          <w:bCs/>
        </w:rPr>
      </w:pPr>
      <w:r w:rsidRPr="00014FF3">
        <w:rPr>
          <w:rFonts w:ascii="Times New Roman" w:hAnsi="Times New Roman" w:cs="Times New Roman"/>
          <w:sz w:val="28"/>
          <w:szCs w:val="28"/>
        </w:rPr>
        <w:t xml:space="preserve">    </w:t>
      </w:r>
      <w:r w:rsidR="008F4AFB" w:rsidRPr="00014FF3">
        <w:rPr>
          <w:rFonts w:ascii="Times New Roman" w:hAnsi="Times New Roman" w:cs="Times New Roman"/>
          <w:b/>
          <w:bCs/>
        </w:rPr>
        <w:t>На право заключения договора</w:t>
      </w:r>
    </w:p>
    <w:p w:rsidR="008F4AFB" w:rsidRPr="00014FF3" w:rsidRDefault="008F4AFB" w:rsidP="008F4AFB">
      <w:pPr>
        <w:pStyle w:val="Default"/>
        <w:jc w:val="center"/>
        <w:rPr>
          <w:rFonts w:ascii="Times New Roman" w:hAnsi="Times New Roman" w:cs="Times New Roman"/>
          <w:b/>
          <w:bCs/>
        </w:rPr>
      </w:pPr>
      <w:r w:rsidRPr="00014FF3">
        <w:rPr>
          <w:rFonts w:ascii="Times New Roman" w:hAnsi="Times New Roman" w:cs="Times New Roman"/>
          <w:b/>
          <w:bCs/>
        </w:rPr>
        <w:t>на оказание услуг по автомобильным грузоперевозкам</w:t>
      </w:r>
    </w:p>
    <w:p w:rsidR="00334733" w:rsidRPr="00014FF3" w:rsidRDefault="00334733" w:rsidP="00334733">
      <w:pPr>
        <w:spacing w:line="256" w:lineRule="auto"/>
        <w:rPr>
          <w:rFonts w:eastAsia="Calibri"/>
        </w:rPr>
      </w:pPr>
      <w:r w:rsidRPr="00014FF3">
        <w:rPr>
          <w:rFonts w:eastAsia="Calibri"/>
          <w:b/>
        </w:rPr>
        <w:t>1</w:t>
      </w:r>
      <w:r w:rsidRPr="00014FF3">
        <w:rPr>
          <w:rFonts w:eastAsia="Calibri"/>
        </w:rPr>
        <w:t xml:space="preserve">. </w:t>
      </w:r>
      <w:r w:rsidRPr="00014FF3">
        <w:rPr>
          <w:rFonts w:eastAsia="Calibri"/>
          <w:b/>
        </w:rPr>
        <w:t>Состав груза:</w:t>
      </w:r>
      <w:r w:rsidRPr="00014FF3">
        <w:rPr>
          <w:rFonts w:eastAsia="Calibri"/>
        </w:rPr>
        <w:t xml:space="preserve"> документация, изделия в ящиках – крупногабаритные до 2</w:t>
      </w:r>
      <w:r w:rsidR="002E0FA7">
        <w:rPr>
          <w:rFonts w:eastAsia="Calibri"/>
        </w:rPr>
        <w:t>0</w:t>
      </w:r>
      <w:r w:rsidRPr="00014FF3">
        <w:rPr>
          <w:rFonts w:eastAsia="Calibri"/>
        </w:rPr>
        <w:t>00 кг, изделия – среднегабаритные, изделия – малог</w:t>
      </w:r>
      <w:r w:rsidR="00EE2A22">
        <w:rPr>
          <w:rFonts w:eastAsia="Calibri"/>
        </w:rPr>
        <w:t>абаритные. Вес: от 0,1 кг до 500</w:t>
      </w:r>
      <w:r w:rsidRPr="00014FF3">
        <w:rPr>
          <w:rFonts w:eastAsia="Calibri"/>
        </w:rPr>
        <w:t xml:space="preserve"> кг, объем: от 0,1 м</w:t>
      </w:r>
      <w:r w:rsidRPr="00014FF3">
        <w:rPr>
          <w:rFonts w:eastAsia="Calibri"/>
          <w:vertAlign w:val="superscript"/>
        </w:rPr>
        <w:t xml:space="preserve">3 </w:t>
      </w:r>
      <w:r w:rsidRPr="00014FF3">
        <w:rPr>
          <w:rFonts w:eastAsia="Calibri"/>
        </w:rPr>
        <w:t>до</w:t>
      </w:r>
      <w:r w:rsidR="00EE2A22">
        <w:rPr>
          <w:rFonts w:eastAsia="Calibri"/>
        </w:rPr>
        <w:t xml:space="preserve"> 2</w:t>
      </w:r>
      <w:r w:rsidRPr="00014FF3">
        <w:rPr>
          <w:rFonts w:eastAsia="Calibri"/>
        </w:rPr>
        <w:t xml:space="preserve"> м</w:t>
      </w:r>
      <w:r w:rsidRPr="00014FF3">
        <w:rPr>
          <w:rFonts w:eastAsia="Calibri"/>
          <w:vertAlign w:val="superscript"/>
        </w:rPr>
        <w:t>3</w:t>
      </w:r>
      <w:r w:rsidRPr="00014FF3">
        <w:rPr>
          <w:rFonts w:eastAsia="Calibri"/>
        </w:rPr>
        <w:t>. Груз не секретный, не опасный, не требует вооруженной охраны.</w:t>
      </w:r>
    </w:p>
    <w:tbl>
      <w:tblPr>
        <w:tblpPr w:leftFromText="180" w:rightFromText="180" w:vertAnchor="text" w:horzAnchor="margin" w:tblpY="3111"/>
        <w:tblW w:w="9436" w:type="dxa"/>
        <w:tblLayout w:type="fixed"/>
        <w:tblLook w:val="04A0" w:firstRow="1" w:lastRow="0" w:firstColumn="1" w:lastColumn="0" w:noHBand="0" w:noVBand="1"/>
      </w:tblPr>
      <w:tblGrid>
        <w:gridCol w:w="1271"/>
        <w:gridCol w:w="992"/>
        <w:gridCol w:w="567"/>
        <w:gridCol w:w="851"/>
        <w:gridCol w:w="567"/>
        <w:gridCol w:w="567"/>
        <w:gridCol w:w="567"/>
        <w:gridCol w:w="567"/>
        <w:gridCol w:w="567"/>
        <w:gridCol w:w="652"/>
        <w:gridCol w:w="567"/>
        <w:gridCol w:w="482"/>
        <w:gridCol w:w="567"/>
        <w:gridCol w:w="652"/>
      </w:tblGrid>
      <w:tr w:rsidR="00EE2A22" w:rsidRPr="007079FE" w:rsidTr="00EE2A22">
        <w:trPr>
          <w:trHeight w:val="225"/>
        </w:trPr>
        <w:tc>
          <w:tcPr>
            <w:tcW w:w="1271" w:type="dxa"/>
            <w:vMerge w:val="restart"/>
            <w:tcBorders>
              <w:top w:val="single" w:sz="4" w:space="0" w:color="auto"/>
              <w:left w:val="single" w:sz="4" w:space="0" w:color="auto"/>
              <w:right w:val="single" w:sz="4" w:space="0" w:color="auto"/>
            </w:tcBorders>
            <w:shd w:val="clear" w:color="auto" w:fill="FFFFFF"/>
            <w:vAlign w:val="center"/>
          </w:tcPr>
          <w:p w:rsidR="00EE2A22" w:rsidRPr="007079FE" w:rsidRDefault="00EE2A22" w:rsidP="00EE2A22">
            <w:pPr>
              <w:spacing w:after="0"/>
              <w:rPr>
                <w:sz w:val="10"/>
                <w:szCs w:val="10"/>
              </w:rPr>
            </w:pPr>
            <w:r w:rsidRPr="007079FE">
              <w:rPr>
                <w:sz w:val="10"/>
                <w:szCs w:val="10"/>
              </w:rPr>
              <w:t xml:space="preserve">Адрес загрузки </w:t>
            </w:r>
          </w:p>
        </w:tc>
        <w:tc>
          <w:tcPr>
            <w:tcW w:w="992" w:type="dxa"/>
            <w:vMerge w:val="restart"/>
            <w:tcBorders>
              <w:top w:val="single" w:sz="4" w:space="0" w:color="auto"/>
              <w:left w:val="nil"/>
              <w:right w:val="nil"/>
            </w:tcBorders>
            <w:shd w:val="clear" w:color="auto" w:fill="FFFFFF"/>
            <w:vAlign w:val="center"/>
          </w:tcPr>
          <w:p w:rsidR="00EE2A22" w:rsidRPr="007079FE" w:rsidRDefault="00EE2A22" w:rsidP="00EE2A22">
            <w:pPr>
              <w:spacing w:after="0"/>
              <w:rPr>
                <w:color w:val="000000"/>
                <w:sz w:val="10"/>
                <w:szCs w:val="10"/>
              </w:rPr>
            </w:pPr>
            <w:r w:rsidRPr="007079FE">
              <w:rPr>
                <w:color w:val="000000"/>
                <w:sz w:val="10"/>
                <w:szCs w:val="10"/>
              </w:rPr>
              <w:t>Направление перевозки</w:t>
            </w:r>
          </w:p>
        </w:tc>
        <w:tc>
          <w:tcPr>
            <w:tcW w:w="567" w:type="dxa"/>
            <w:vMerge w:val="restart"/>
            <w:tcBorders>
              <w:top w:val="single" w:sz="4" w:space="0" w:color="auto"/>
              <w:left w:val="single" w:sz="8" w:space="0" w:color="auto"/>
              <w:right w:val="nil"/>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Срок доставки</w:t>
            </w:r>
          </w:p>
          <w:p w:rsidR="00EE2A22" w:rsidRPr="007079FE" w:rsidRDefault="00EE2A22" w:rsidP="00EE2A22">
            <w:pPr>
              <w:spacing w:after="0"/>
              <w:jc w:val="center"/>
              <w:rPr>
                <w:color w:val="000000"/>
                <w:sz w:val="10"/>
                <w:szCs w:val="10"/>
              </w:rPr>
            </w:pPr>
            <w:r w:rsidRPr="007079FE">
              <w:rPr>
                <w:color w:val="000000"/>
                <w:sz w:val="10"/>
                <w:szCs w:val="10"/>
              </w:rPr>
              <w:t>дней</w:t>
            </w:r>
          </w:p>
          <w:p w:rsidR="00EE2A22" w:rsidRPr="007079FE" w:rsidRDefault="00EE2A22" w:rsidP="00EE2A22">
            <w:pPr>
              <w:spacing w:after="0"/>
              <w:jc w:val="center"/>
              <w:rPr>
                <w:color w:val="000000"/>
                <w:sz w:val="10"/>
                <w:szCs w:val="10"/>
              </w:rPr>
            </w:pPr>
          </w:p>
        </w:tc>
        <w:tc>
          <w:tcPr>
            <w:tcW w:w="851" w:type="dxa"/>
            <w:vMerge w:val="restart"/>
            <w:tcBorders>
              <w:top w:val="single" w:sz="4" w:space="0" w:color="auto"/>
              <w:left w:val="single" w:sz="8" w:space="0" w:color="auto"/>
              <w:right w:val="nil"/>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Минимальная стоимость</w:t>
            </w:r>
          </w:p>
        </w:tc>
        <w:tc>
          <w:tcPr>
            <w:tcW w:w="2835" w:type="dxa"/>
            <w:gridSpan w:val="5"/>
            <w:tcBorders>
              <w:top w:val="single" w:sz="4" w:space="0" w:color="auto"/>
              <w:left w:val="single" w:sz="8" w:space="0" w:color="auto"/>
              <w:bottom w:val="dotted" w:sz="4" w:space="0" w:color="auto"/>
              <w:right w:val="single" w:sz="8"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Тариф на 1 кг</w:t>
            </w:r>
          </w:p>
        </w:tc>
        <w:tc>
          <w:tcPr>
            <w:tcW w:w="2920" w:type="dxa"/>
            <w:gridSpan w:val="5"/>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Тариф на 1м3 ( куб. метр)</w:t>
            </w:r>
          </w:p>
        </w:tc>
      </w:tr>
      <w:tr w:rsidR="00EE2A22" w:rsidRPr="007079FE" w:rsidTr="00EE2A22">
        <w:trPr>
          <w:trHeight w:val="225"/>
        </w:trPr>
        <w:tc>
          <w:tcPr>
            <w:tcW w:w="1271" w:type="dxa"/>
            <w:vMerge/>
            <w:tcBorders>
              <w:left w:val="single" w:sz="4" w:space="0" w:color="auto"/>
              <w:bottom w:val="dotted" w:sz="4" w:space="0" w:color="auto"/>
              <w:right w:val="single" w:sz="4" w:space="0" w:color="auto"/>
            </w:tcBorders>
            <w:shd w:val="clear" w:color="auto" w:fill="FFFFFF"/>
            <w:vAlign w:val="center"/>
          </w:tcPr>
          <w:p w:rsidR="00EE2A22" w:rsidRPr="007079FE" w:rsidRDefault="00EE2A22" w:rsidP="00EE2A22">
            <w:pPr>
              <w:spacing w:after="0"/>
              <w:rPr>
                <w:sz w:val="10"/>
                <w:szCs w:val="10"/>
              </w:rPr>
            </w:pPr>
          </w:p>
        </w:tc>
        <w:tc>
          <w:tcPr>
            <w:tcW w:w="992" w:type="dxa"/>
            <w:vMerge/>
            <w:tcBorders>
              <w:left w:val="nil"/>
              <w:bottom w:val="dotted" w:sz="4" w:space="0" w:color="auto"/>
              <w:right w:val="nil"/>
            </w:tcBorders>
            <w:shd w:val="clear" w:color="auto" w:fill="FFFFFF"/>
            <w:vAlign w:val="center"/>
          </w:tcPr>
          <w:p w:rsidR="00EE2A22" w:rsidRPr="007079FE" w:rsidRDefault="00EE2A22" w:rsidP="00EE2A22">
            <w:pPr>
              <w:spacing w:after="0"/>
              <w:rPr>
                <w:color w:val="000000"/>
                <w:sz w:val="10"/>
                <w:szCs w:val="10"/>
              </w:rPr>
            </w:pPr>
          </w:p>
        </w:tc>
        <w:tc>
          <w:tcPr>
            <w:tcW w:w="567" w:type="dxa"/>
            <w:vMerge/>
            <w:tcBorders>
              <w:left w:val="single" w:sz="8" w:space="0" w:color="auto"/>
              <w:bottom w:val="dotted" w:sz="4" w:space="0" w:color="auto"/>
              <w:right w:val="nil"/>
            </w:tcBorders>
            <w:shd w:val="clear" w:color="auto" w:fill="FFFFFF"/>
            <w:vAlign w:val="center"/>
          </w:tcPr>
          <w:p w:rsidR="00EE2A22" w:rsidRPr="007079FE" w:rsidRDefault="00EE2A22" w:rsidP="00EE2A22">
            <w:pPr>
              <w:spacing w:after="0"/>
              <w:jc w:val="center"/>
              <w:rPr>
                <w:color w:val="000000"/>
                <w:sz w:val="10"/>
                <w:szCs w:val="10"/>
              </w:rPr>
            </w:pPr>
          </w:p>
        </w:tc>
        <w:tc>
          <w:tcPr>
            <w:tcW w:w="851" w:type="dxa"/>
            <w:vMerge/>
            <w:tcBorders>
              <w:left w:val="single" w:sz="8" w:space="0" w:color="auto"/>
              <w:bottom w:val="dotted" w:sz="4" w:space="0" w:color="auto"/>
              <w:right w:val="nil"/>
            </w:tcBorders>
            <w:shd w:val="clear" w:color="auto" w:fill="FFFFFF"/>
            <w:vAlign w:val="center"/>
          </w:tcPr>
          <w:p w:rsidR="00EE2A22" w:rsidRPr="007079FE" w:rsidRDefault="00EE2A22" w:rsidP="00EE2A22">
            <w:pPr>
              <w:spacing w:after="0"/>
              <w:jc w:val="center"/>
              <w:rPr>
                <w:color w:val="000000"/>
                <w:sz w:val="10"/>
                <w:szCs w:val="10"/>
              </w:rPr>
            </w:pP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sidRPr="007079FE">
              <w:rPr>
                <w:color w:val="000000"/>
                <w:sz w:val="10"/>
                <w:szCs w:val="10"/>
              </w:rPr>
              <w:t>50-99 кг</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sidRPr="007079FE">
              <w:rPr>
                <w:color w:val="000000"/>
                <w:sz w:val="10"/>
                <w:szCs w:val="10"/>
              </w:rPr>
              <w:t>100-149 кг</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sidRPr="007079FE">
              <w:rPr>
                <w:color w:val="000000"/>
                <w:sz w:val="10"/>
                <w:szCs w:val="10"/>
              </w:rPr>
              <w:t>150-199 кг</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Default="00EE2A22" w:rsidP="00EE2A22">
            <w:pPr>
              <w:spacing w:after="0"/>
              <w:jc w:val="left"/>
              <w:rPr>
                <w:color w:val="000000"/>
                <w:sz w:val="10"/>
                <w:szCs w:val="10"/>
              </w:rPr>
            </w:pPr>
          </w:p>
          <w:p w:rsidR="00EE2A22" w:rsidRPr="007079FE" w:rsidRDefault="00EE2A22" w:rsidP="00EE2A22">
            <w:pPr>
              <w:spacing w:after="0"/>
              <w:jc w:val="left"/>
              <w:rPr>
                <w:color w:val="000000"/>
                <w:sz w:val="10"/>
                <w:szCs w:val="10"/>
              </w:rPr>
            </w:pPr>
            <w:r w:rsidRPr="007079FE">
              <w:rPr>
                <w:color w:val="000000"/>
                <w:sz w:val="10"/>
                <w:szCs w:val="10"/>
              </w:rPr>
              <w:t>200-299</w:t>
            </w:r>
          </w:p>
          <w:p w:rsidR="00EE2A22" w:rsidRPr="007079FE" w:rsidRDefault="00EE2A22" w:rsidP="00EE2A22">
            <w:pPr>
              <w:spacing w:after="0"/>
              <w:jc w:val="left"/>
              <w:rPr>
                <w:color w:val="000000"/>
                <w:sz w:val="10"/>
                <w:szCs w:val="10"/>
              </w:rPr>
            </w:pPr>
            <w:r w:rsidRPr="007079FE">
              <w:rPr>
                <w:color w:val="000000"/>
                <w:sz w:val="10"/>
                <w:szCs w:val="10"/>
              </w:rPr>
              <w:t>кг.</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Default="00EE2A22" w:rsidP="00EE2A22">
            <w:pPr>
              <w:spacing w:after="0"/>
              <w:jc w:val="left"/>
              <w:rPr>
                <w:color w:val="000000"/>
                <w:sz w:val="10"/>
                <w:szCs w:val="10"/>
              </w:rPr>
            </w:pPr>
          </w:p>
          <w:p w:rsidR="00EE2A22" w:rsidRPr="007079FE" w:rsidRDefault="00EE2A22" w:rsidP="00EE2A22">
            <w:pPr>
              <w:spacing w:after="0"/>
              <w:jc w:val="left"/>
              <w:rPr>
                <w:color w:val="000000"/>
                <w:sz w:val="10"/>
                <w:szCs w:val="10"/>
              </w:rPr>
            </w:pPr>
            <w:r w:rsidRPr="007079FE">
              <w:rPr>
                <w:color w:val="000000"/>
                <w:sz w:val="10"/>
                <w:szCs w:val="10"/>
              </w:rPr>
              <w:t>300-499 кг.</w:t>
            </w:r>
          </w:p>
          <w:p w:rsidR="00EE2A22" w:rsidRPr="007079FE" w:rsidRDefault="00EE2A22" w:rsidP="00EE2A22">
            <w:pPr>
              <w:spacing w:after="0"/>
              <w:jc w:val="left"/>
              <w:rPr>
                <w:color w:val="000000"/>
                <w:sz w:val="10"/>
                <w:szCs w:val="10"/>
              </w:rPr>
            </w:pP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Pr>
                <w:color w:val="000000"/>
                <w:sz w:val="10"/>
                <w:szCs w:val="10"/>
              </w:rPr>
              <w:t>0,16-</w:t>
            </w:r>
            <w:r w:rsidRPr="007079FE">
              <w:rPr>
                <w:color w:val="000000"/>
                <w:sz w:val="10"/>
                <w:szCs w:val="10"/>
              </w:rPr>
              <w:t>0,39 м3</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sidRPr="007079FE">
              <w:rPr>
                <w:color w:val="000000"/>
                <w:sz w:val="10"/>
                <w:szCs w:val="10"/>
              </w:rPr>
              <w:t>0,4-0,59 м3</w:t>
            </w:r>
          </w:p>
        </w:tc>
        <w:tc>
          <w:tcPr>
            <w:tcW w:w="482"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left"/>
              <w:rPr>
                <w:color w:val="000000"/>
                <w:sz w:val="10"/>
                <w:szCs w:val="10"/>
              </w:rPr>
            </w:pPr>
            <w:r w:rsidRPr="007079FE">
              <w:rPr>
                <w:color w:val="000000"/>
                <w:sz w:val="10"/>
                <w:szCs w:val="10"/>
              </w:rPr>
              <w:t>0,6-0,79м3</w:t>
            </w:r>
          </w:p>
        </w:tc>
        <w:tc>
          <w:tcPr>
            <w:tcW w:w="567" w:type="dxa"/>
            <w:tcBorders>
              <w:top w:val="single" w:sz="4" w:space="0" w:color="auto"/>
              <w:left w:val="nil"/>
              <w:bottom w:val="dotted" w:sz="4" w:space="0" w:color="auto"/>
              <w:right w:val="single" w:sz="4" w:space="0" w:color="auto"/>
            </w:tcBorders>
            <w:shd w:val="clear" w:color="auto" w:fill="FFFFFF"/>
          </w:tcPr>
          <w:p w:rsidR="00EE2A22" w:rsidRPr="007079FE" w:rsidRDefault="00EE2A22" w:rsidP="00EE2A22">
            <w:pPr>
              <w:spacing w:after="0"/>
              <w:jc w:val="left"/>
              <w:rPr>
                <w:color w:val="000000"/>
                <w:sz w:val="10"/>
                <w:szCs w:val="10"/>
              </w:rPr>
            </w:pPr>
            <w:r w:rsidRPr="007079FE">
              <w:rPr>
                <w:color w:val="000000"/>
                <w:sz w:val="10"/>
                <w:szCs w:val="10"/>
              </w:rPr>
              <w:t xml:space="preserve"> 0,8</w:t>
            </w:r>
            <w:r>
              <w:rPr>
                <w:color w:val="000000"/>
                <w:sz w:val="10"/>
                <w:szCs w:val="10"/>
              </w:rPr>
              <w:t>-</w:t>
            </w:r>
            <w:r w:rsidRPr="007079FE">
              <w:rPr>
                <w:color w:val="000000"/>
                <w:sz w:val="10"/>
                <w:szCs w:val="10"/>
              </w:rPr>
              <w:t>1,2 м3</w:t>
            </w:r>
          </w:p>
        </w:tc>
        <w:tc>
          <w:tcPr>
            <w:tcW w:w="652" w:type="dxa"/>
            <w:tcBorders>
              <w:top w:val="single" w:sz="4" w:space="0" w:color="auto"/>
              <w:left w:val="nil"/>
              <w:bottom w:val="dotted" w:sz="4" w:space="0" w:color="auto"/>
              <w:right w:val="single" w:sz="4" w:space="0" w:color="auto"/>
            </w:tcBorders>
            <w:shd w:val="clear" w:color="auto" w:fill="FFFFFF"/>
          </w:tcPr>
          <w:p w:rsidR="00EE2A22" w:rsidRPr="007079FE" w:rsidRDefault="00EE2A22" w:rsidP="00EE2A22">
            <w:pPr>
              <w:spacing w:after="0"/>
              <w:jc w:val="left"/>
              <w:rPr>
                <w:color w:val="000000"/>
                <w:sz w:val="10"/>
                <w:szCs w:val="10"/>
              </w:rPr>
            </w:pPr>
            <w:r w:rsidRPr="007079FE">
              <w:rPr>
                <w:color w:val="000000"/>
                <w:sz w:val="10"/>
                <w:szCs w:val="10"/>
              </w:rPr>
              <w:t>1,2-1,99</w:t>
            </w:r>
            <w:r>
              <w:rPr>
                <w:color w:val="000000"/>
                <w:sz w:val="10"/>
                <w:szCs w:val="10"/>
              </w:rPr>
              <w:t xml:space="preserve"> м3</w:t>
            </w:r>
          </w:p>
        </w:tc>
      </w:tr>
      <w:tr w:rsidR="00EE2A22" w:rsidRPr="007079FE" w:rsidTr="00EE2A22">
        <w:trPr>
          <w:trHeight w:val="225"/>
        </w:trPr>
        <w:tc>
          <w:tcPr>
            <w:tcW w:w="1271" w:type="dxa"/>
            <w:tcBorders>
              <w:top w:val="single" w:sz="4" w:space="0" w:color="auto"/>
              <w:left w:val="single" w:sz="4" w:space="0" w:color="auto"/>
              <w:bottom w:val="dotted" w:sz="4" w:space="0" w:color="auto"/>
              <w:right w:val="single" w:sz="4" w:space="0" w:color="auto"/>
            </w:tcBorders>
            <w:shd w:val="clear" w:color="auto" w:fill="FFFFFF"/>
            <w:vAlign w:val="center"/>
          </w:tcPr>
          <w:p w:rsidR="00EE2A22" w:rsidRPr="007079FE" w:rsidRDefault="00EE2A22" w:rsidP="00EE2A22">
            <w:pPr>
              <w:spacing w:after="0"/>
              <w:rPr>
                <w:sz w:val="10"/>
                <w:szCs w:val="10"/>
              </w:rPr>
            </w:pPr>
            <w:r w:rsidRPr="007079FE">
              <w:rPr>
                <w:sz w:val="10"/>
                <w:szCs w:val="10"/>
              </w:rPr>
              <w:t>1</w:t>
            </w:r>
          </w:p>
        </w:tc>
        <w:tc>
          <w:tcPr>
            <w:tcW w:w="992" w:type="dxa"/>
            <w:tcBorders>
              <w:top w:val="single" w:sz="4" w:space="0" w:color="auto"/>
              <w:left w:val="nil"/>
              <w:bottom w:val="dotted" w:sz="4" w:space="0" w:color="auto"/>
              <w:right w:val="nil"/>
            </w:tcBorders>
            <w:shd w:val="clear" w:color="auto" w:fill="FFFFFF"/>
            <w:vAlign w:val="center"/>
          </w:tcPr>
          <w:p w:rsidR="00EE2A22" w:rsidRPr="007079FE" w:rsidRDefault="00EE2A22" w:rsidP="00EE2A22">
            <w:pPr>
              <w:spacing w:after="0"/>
              <w:rPr>
                <w:color w:val="000000"/>
                <w:sz w:val="10"/>
                <w:szCs w:val="10"/>
              </w:rPr>
            </w:pPr>
            <w:r w:rsidRPr="007079FE">
              <w:rPr>
                <w:color w:val="000000"/>
                <w:sz w:val="10"/>
                <w:szCs w:val="10"/>
              </w:rPr>
              <w:t>2</w:t>
            </w:r>
          </w:p>
        </w:tc>
        <w:tc>
          <w:tcPr>
            <w:tcW w:w="567" w:type="dxa"/>
            <w:tcBorders>
              <w:top w:val="single" w:sz="4" w:space="0" w:color="auto"/>
              <w:left w:val="single" w:sz="8" w:space="0" w:color="auto"/>
              <w:bottom w:val="dotted" w:sz="4" w:space="0" w:color="auto"/>
              <w:right w:val="nil"/>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3</w:t>
            </w:r>
          </w:p>
        </w:tc>
        <w:tc>
          <w:tcPr>
            <w:tcW w:w="851" w:type="dxa"/>
            <w:tcBorders>
              <w:top w:val="single" w:sz="4" w:space="0" w:color="auto"/>
              <w:left w:val="single" w:sz="8" w:space="0" w:color="auto"/>
              <w:bottom w:val="dotted" w:sz="4" w:space="0" w:color="auto"/>
              <w:right w:val="nil"/>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4</w:t>
            </w: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5</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6</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7</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Pr="007079FE" w:rsidRDefault="00EE2A22" w:rsidP="00EE2A22">
            <w:pPr>
              <w:spacing w:after="0"/>
              <w:jc w:val="center"/>
              <w:rPr>
                <w:color w:val="000000"/>
                <w:sz w:val="10"/>
                <w:szCs w:val="10"/>
              </w:rPr>
            </w:pPr>
            <w:r w:rsidRPr="007079FE">
              <w:rPr>
                <w:color w:val="000000"/>
                <w:sz w:val="10"/>
                <w:szCs w:val="10"/>
              </w:rPr>
              <w:t>8</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Pr="007079FE" w:rsidRDefault="00EE2A22" w:rsidP="00EE2A22">
            <w:pPr>
              <w:spacing w:after="0"/>
              <w:jc w:val="center"/>
              <w:rPr>
                <w:color w:val="000000"/>
                <w:sz w:val="10"/>
                <w:szCs w:val="10"/>
              </w:rPr>
            </w:pPr>
            <w:r w:rsidRPr="007079FE">
              <w:rPr>
                <w:color w:val="000000"/>
                <w:sz w:val="10"/>
                <w:szCs w:val="10"/>
              </w:rPr>
              <w:t>9</w:t>
            </w: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10</w:t>
            </w: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11</w:t>
            </w:r>
          </w:p>
        </w:tc>
        <w:tc>
          <w:tcPr>
            <w:tcW w:w="482" w:type="dxa"/>
            <w:tcBorders>
              <w:top w:val="single" w:sz="4" w:space="0" w:color="auto"/>
              <w:left w:val="nil"/>
              <w:bottom w:val="dotted" w:sz="4" w:space="0" w:color="auto"/>
              <w:right w:val="single" w:sz="4" w:space="0" w:color="auto"/>
            </w:tcBorders>
            <w:shd w:val="clear" w:color="auto" w:fill="FFFFFF"/>
            <w:vAlign w:val="center"/>
          </w:tcPr>
          <w:p w:rsidR="00EE2A22" w:rsidRPr="007079FE" w:rsidRDefault="00EE2A22" w:rsidP="00EE2A22">
            <w:pPr>
              <w:spacing w:after="0"/>
              <w:jc w:val="center"/>
              <w:rPr>
                <w:color w:val="000000"/>
                <w:sz w:val="10"/>
                <w:szCs w:val="10"/>
              </w:rPr>
            </w:pPr>
            <w:r w:rsidRPr="007079FE">
              <w:rPr>
                <w:color w:val="000000"/>
                <w:sz w:val="10"/>
                <w:szCs w:val="10"/>
              </w:rPr>
              <w:t>12</w:t>
            </w:r>
          </w:p>
        </w:tc>
        <w:tc>
          <w:tcPr>
            <w:tcW w:w="567" w:type="dxa"/>
            <w:tcBorders>
              <w:top w:val="single" w:sz="4" w:space="0" w:color="auto"/>
              <w:left w:val="nil"/>
              <w:bottom w:val="dotted" w:sz="4" w:space="0" w:color="auto"/>
              <w:right w:val="single" w:sz="4" w:space="0" w:color="auto"/>
            </w:tcBorders>
            <w:shd w:val="clear" w:color="auto" w:fill="FFFFFF"/>
          </w:tcPr>
          <w:p w:rsidR="00EE2A22" w:rsidRPr="007079FE" w:rsidRDefault="00EE2A22" w:rsidP="00EE2A22">
            <w:pPr>
              <w:spacing w:after="0"/>
              <w:jc w:val="center"/>
              <w:rPr>
                <w:color w:val="000000"/>
                <w:sz w:val="10"/>
                <w:szCs w:val="10"/>
              </w:rPr>
            </w:pPr>
            <w:r w:rsidRPr="007079FE">
              <w:rPr>
                <w:color w:val="000000"/>
                <w:sz w:val="10"/>
                <w:szCs w:val="10"/>
              </w:rPr>
              <w:t>13</w:t>
            </w:r>
          </w:p>
        </w:tc>
        <w:tc>
          <w:tcPr>
            <w:tcW w:w="652" w:type="dxa"/>
            <w:tcBorders>
              <w:top w:val="single" w:sz="4" w:space="0" w:color="auto"/>
              <w:left w:val="nil"/>
              <w:bottom w:val="dotted" w:sz="4" w:space="0" w:color="auto"/>
              <w:right w:val="single" w:sz="4" w:space="0" w:color="auto"/>
            </w:tcBorders>
            <w:shd w:val="clear" w:color="auto" w:fill="FFFFFF"/>
          </w:tcPr>
          <w:p w:rsidR="00EE2A22" w:rsidRPr="007079FE" w:rsidRDefault="00EE2A22" w:rsidP="00EE2A22">
            <w:pPr>
              <w:spacing w:after="0"/>
              <w:jc w:val="center"/>
              <w:rPr>
                <w:color w:val="000000"/>
                <w:sz w:val="10"/>
                <w:szCs w:val="10"/>
              </w:rPr>
            </w:pPr>
            <w:r w:rsidRPr="007079FE">
              <w:rPr>
                <w:color w:val="000000"/>
                <w:sz w:val="10"/>
                <w:szCs w:val="10"/>
              </w:rPr>
              <w:t>14</w:t>
            </w:r>
          </w:p>
        </w:tc>
      </w:tr>
      <w:tr w:rsidR="00EE2A22" w:rsidRPr="00CA414E" w:rsidTr="00EE2A22">
        <w:trPr>
          <w:trHeight w:val="225"/>
        </w:trPr>
        <w:tc>
          <w:tcPr>
            <w:tcW w:w="1271"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Балашиха</w:t>
            </w:r>
          </w:p>
        </w:tc>
        <w:tc>
          <w:tcPr>
            <w:tcW w:w="992" w:type="dxa"/>
            <w:tcBorders>
              <w:top w:val="single" w:sz="4" w:space="0" w:color="auto"/>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single" w:sz="4" w:space="0" w:color="auto"/>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5</w:t>
            </w:r>
          </w:p>
        </w:tc>
        <w:tc>
          <w:tcPr>
            <w:tcW w:w="851" w:type="dxa"/>
            <w:tcBorders>
              <w:top w:val="single" w:sz="4" w:space="0" w:color="auto"/>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CA414E" w:rsidRDefault="00EE2A22" w:rsidP="00EE2A22">
            <w:pPr>
              <w:spacing w:after="0"/>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Pr="00CA414E" w:rsidRDefault="00EE2A22" w:rsidP="00EE2A22">
            <w:pPr>
              <w:spacing w:after="0"/>
              <w:jc w:val="center"/>
              <w:rPr>
                <w:color w:val="000000"/>
                <w:sz w:val="16"/>
                <w:szCs w:val="16"/>
              </w:rPr>
            </w:pP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EE2A22" w:rsidRPr="00CA414E" w:rsidRDefault="00EE2A22" w:rsidP="00EE2A22">
            <w:pPr>
              <w:spacing w:after="0"/>
              <w:jc w:val="center"/>
              <w:rPr>
                <w:color w:val="000000"/>
                <w:sz w:val="16"/>
                <w:szCs w:val="16"/>
              </w:rPr>
            </w:pP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EE2A22" w:rsidRPr="00CA414E" w:rsidRDefault="00EE2A22" w:rsidP="00EE2A22">
            <w:pPr>
              <w:spacing w:after="0"/>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single" w:sz="4" w:space="0" w:color="auto"/>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single" w:sz="4" w:space="0" w:color="auto"/>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Брянск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Владимир</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Волгоград</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Дзержинск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Екатеринбург</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Железнодорожный</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Зеленоград</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Зеленоград</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Иваново</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Каменск-Уральский</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Киров</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Кирово-Чепецк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Красногорск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Миасс</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Москва</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Мытищи</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Нижний Новгород</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Ногинск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Подольск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Самара</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Санкт-Петербург</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Томск</w:t>
            </w:r>
          </w:p>
        </w:tc>
        <w:tc>
          <w:tcPr>
            <w:tcW w:w="992" w:type="dxa"/>
            <w:tcBorders>
              <w:top w:val="nil"/>
              <w:left w:val="nil"/>
              <w:bottom w:val="dotted"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r w:rsidR="00EE2A22" w:rsidRPr="00CA414E" w:rsidTr="00EE2A22">
        <w:trPr>
          <w:trHeight w:val="225"/>
        </w:trPr>
        <w:tc>
          <w:tcPr>
            <w:tcW w:w="1271" w:type="dxa"/>
            <w:tcBorders>
              <w:top w:val="nil"/>
              <w:left w:val="single" w:sz="4" w:space="0" w:color="auto"/>
              <w:bottom w:val="single" w:sz="4" w:space="0" w:color="auto"/>
              <w:right w:val="single" w:sz="4" w:space="0" w:color="auto"/>
            </w:tcBorders>
            <w:shd w:val="clear" w:color="auto" w:fill="FFFFFF"/>
            <w:vAlign w:val="center"/>
            <w:hideMark/>
          </w:tcPr>
          <w:p w:rsidR="00EE2A22" w:rsidRPr="00CA414E" w:rsidRDefault="00EE2A22" w:rsidP="00EE2A22">
            <w:pPr>
              <w:spacing w:after="0"/>
              <w:rPr>
                <w:sz w:val="16"/>
                <w:szCs w:val="16"/>
              </w:rPr>
            </w:pPr>
            <w:r w:rsidRPr="00CA414E">
              <w:rPr>
                <w:sz w:val="16"/>
                <w:szCs w:val="16"/>
              </w:rPr>
              <w:t>Тула</w:t>
            </w:r>
          </w:p>
        </w:tc>
        <w:tc>
          <w:tcPr>
            <w:tcW w:w="992" w:type="dxa"/>
            <w:tcBorders>
              <w:top w:val="nil"/>
              <w:left w:val="nil"/>
              <w:bottom w:val="single" w:sz="4" w:space="0" w:color="auto"/>
              <w:right w:val="nil"/>
            </w:tcBorders>
            <w:shd w:val="clear" w:color="auto" w:fill="FFFFFF"/>
            <w:vAlign w:val="center"/>
            <w:hideMark/>
          </w:tcPr>
          <w:p w:rsidR="00EE2A22" w:rsidRPr="00CA414E" w:rsidRDefault="00EE2A22" w:rsidP="00EE2A22">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single" w:sz="4" w:space="0" w:color="auto"/>
              <w:right w:val="nil"/>
            </w:tcBorders>
            <w:shd w:val="clear" w:color="auto" w:fill="FFFFFF"/>
            <w:vAlign w:val="center"/>
          </w:tcPr>
          <w:p w:rsidR="00EE2A22" w:rsidRPr="00CA414E" w:rsidRDefault="00EE2A22" w:rsidP="00EE2A22">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single" w:sz="4" w:space="0" w:color="auto"/>
              <w:right w:val="nil"/>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single" w:sz="8" w:space="0" w:color="auto"/>
              <w:bottom w:val="single"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567" w:type="dxa"/>
            <w:tcBorders>
              <w:top w:val="nil"/>
              <w:left w:val="single" w:sz="8" w:space="0" w:color="auto"/>
              <w:bottom w:val="single" w:sz="4" w:space="0" w:color="auto"/>
              <w:right w:val="single" w:sz="8"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single" w:sz="8" w:space="0" w:color="auto"/>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482" w:type="dxa"/>
            <w:tcBorders>
              <w:top w:val="nil"/>
              <w:left w:val="nil"/>
              <w:bottom w:val="single" w:sz="4" w:space="0" w:color="auto"/>
              <w:right w:val="single" w:sz="4" w:space="0" w:color="auto"/>
            </w:tcBorders>
            <w:shd w:val="clear" w:color="auto" w:fill="FFFFFF"/>
            <w:vAlign w:val="center"/>
          </w:tcPr>
          <w:p w:rsidR="00EE2A22" w:rsidRPr="00CA414E" w:rsidRDefault="00EE2A22" w:rsidP="00EE2A22">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c>
          <w:tcPr>
            <w:tcW w:w="652" w:type="dxa"/>
            <w:tcBorders>
              <w:top w:val="nil"/>
              <w:left w:val="nil"/>
              <w:bottom w:val="single" w:sz="4" w:space="0" w:color="auto"/>
              <w:right w:val="single" w:sz="4" w:space="0" w:color="auto"/>
            </w:tcBorders>
            <w:shd w:val="clear" w:color="auto" w:fill="FFFFFF"/>
          </w:tcPr>
          <w:p w:rsidR="00EE2A22" w:rsidRPr="00CA414E" w:rsidRDefault="00EE2A22" w:rsidP="00EE2A22">
            <w:pPr>
              <w:jc w:val="center"/>
              <w:rPr>
                <w:color w:val="000000"/>
                <w:sz w:val="16"/>
                <w:szCs w:val="16"/>
              </w:rPr>
            </w:pPr>
          </w:p>
        </w:tc>
      </w:tr>
    </w:tbl>
    <w:p w:rsidR="00EE2A22" w:rsidRDefault="00334733" w:rsidP="00EE2A22">
      <w:pPr>
        <w:spacing w:line="256" w:lineRule="auto"/>
      </w:pPr>
      <w:r w:rsidRPr="00014FF3">
        <w:rPr>
          <w:rFonts w:eastAsia="Calibri"/>
          <w:b/>
        </w:rPr>
        <w:t xml:space="preserve">2. Место оказания услуг: </w:t>
      </w:r>
      <w:r w:rsidRPr="00014FF3">
        <w:rPr>
          <w:rFonts w:eastAsia="Calibri"/>
        </w:rPr>
        <w:t>Российская Федерация, г. Челябинск. Основные направления доставки продукции: Московская область, Амурская область, Алтайский край, Воронежская область, Республика Удмуртия, Иркутская область, Краснодарский край, Кировская область, Республика Дагестан, Чувашская Республика, Тамбовская область, Нижегородская область, Ростовская область, Самарская область, Тюменская область, Ленинградская область, Республики Башкортостан, Республика Бурятии, Ульяновская область. Маршрут перевозки Груза осуществляется в соответствии с Заявкой Заказчика. Таблица №1 Доставка грузов в город Челябинск.</w:t>
      </w: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EE2A22" w:rsidRDefault="00EE2A22" w:rsidP="008F4AFB">
      <w:pPr>
        <w:pStyle w:val="Default"/>
        <w:jc w:val="both"/>
        <w:rPr>
          <w:rFonts w:ascii="Times New Roman" w:hAnsi="Times New Roman" w:cs="Times New Roman"/>
        </w:rPr>
      </w:pPr>
    </w:p>
    <w:p w:rsidR="008F4AFB" w:rsidRPr="00014FF3" w:rsidRDefault="008F4AFB" w:rsidP="008F4AFB">
      <w:pPr>
        <w:pStyle w:val="Default"/>
        <w:jc w:val="both"/>
        <w:rPr>
          <w:rFonts w:ascii="Times New Roman" w:hAnsi="Times New Roman" w:cs="Times New Roman"/>
        </w:rPr>
      </w:pPr>
      <w:proofErr w:type="gramStart"/>
      <w:r w:rsidRPr="00014FF3">
        <w:rPr>
          <w:rFonts w:ascii="Times New Roman" w:hAnsi="Times New Roman" w:cs="Times New Roman"/>
        </w:rPr>
        <w:t>Заказчик:  АО</w:t>
      </w:r>
      <w:proofErr w:type="gramEnd"/>
      <w:r w:rsidRPr="00014FF3">
        <w:rPr>
          <w:rFonts w:ascii="Times New Roman" w:hAnsi="Times New Roman" w:cs="Times New Roman"/>
        </w:rPr>
        <w:t xml:space="preserve"> «Завод «</w:t>
      </w:r>
      <w:proofErr w:type="spellStart"/>
      <w:r w:rsidRPr="00014FF3">
        <w:rPr>
          <w:rFonts w:ascii="Times New Roman" w:hAnsi="Times New Roman" w:cs="Times New Roman"/>
        </w:rPr>
        <w:t>Прибор»Место</w:t>
      </w:r>
      <w:proofErr w:type="spellEnd"/>
      <w:r w:rsidRPr="00014FF3">
        <w:rPr>
          <w:rFonts w:ascii="Times New Roman" w:hAnsi="Times New Roman" w:cs="Times New Roman"/>
        </w:rPr>
        <w:t xml:space="preserve"> нахождения Заказчика: РФ,  г. Челябинск, Комсомольский проспект, 29</w:t>
      </w:r>
    </w:p>
    <w:p w:rsidR="008F4AFB" w:rsidRPr="00014FF3" w:rsidRDefault="008F4AFB" w:rsidP="008F4AFB">
      <w:r w:rsidRPr="00014FF3">
        <w:t>Почтовый адрес Заказчика: РФ, 454112, г. Челябинск, Комсомольский проспект, 29</w:t>
      </w:r>
    </w:p>
    <w:p w:rsidR="008F4AFB" w:rsidRPr="00014FF3" w:rsidRDefault="008F4AFB" w:rsidP="008F4AFB">
      <w:pPr>
        <w:rPr>
          <w:b/>
          <w:bCs/>
        </w:rPr>
      </w:pPr>
      <w:r w:rsidRPr="00014FF3">
        <w:rPr>
          <w:rStyle w:val="a6"/>
        </w:rPr>
        <w:t xml:space="preserve">Сайт Заказчика:  </w:t>
      </w:r>
      <w:hyperlink r:id="rId6" w:history="1">
        <w:r w:rsidR="006A6B49" w:rsidRPr="00014FF3">
          <w:rPr>
            <w:rStyle w:val="a6"/>
          </w:rPr>
          <w:t>dyuryagina_LG@priborplant.ru</w:t>
        </w:r>
      </w:hyperlink>
    </w:p>
    <w:p w:rsidR="008F4AFB" w:rsidRPr="00014FF3" w:rsidRDefault="008F4AFB" w:rsidP="008F4AFB">
      <w:pPr>
        <w:numPr>
          <w:ilvl w:val="0"/>
          <w:numId w:val="4"/>
        </w:numPr>
        <w:spacing w:after="0" w:line="276" w:lineRule="auto"/>
        <w:rPr>
          <w:b/>
          <w:bCs/>
        </w:rPr>
      </w:pPr>
      <w:r w:rsidRPr="00014FF3">
        <w:rPr>
          <w:b/>
          <w:bCs/>
        </w:rPr>
        <w:lastRenderedPageBreak/>
        <w:t xml:space="preserve">Общие </w:t>
      </w:r>
      <w:proofErr w:type="gramStart"/>
      <w:r w:rsidRPr="00014FF3">
        <w:rPr>
          <w:b/>
          <w:bCs/>
        </w:rPr>
        <w:t>требования  к</w:t>
      </w:r>
      <w:proofErr w:type="gramEnd"/>
      <w:r w:rsidRPr="00014FF3">
        <w:rPr>
          <w:b/>
          <w:bCs/>
        </w:rPr>
        <w:t xml:space="preserve"> оказанию услуг</w:t>
      </w:r>
    </w:p>
    <w:p w:rsidR="008F4AFB" w:rsidRPr="00014FF3" w:rsidRDefault="008F4AFB" w:rsidP="008F4AFB">
      <w:pPr>
        <w:numPr>
          <w:ilvl w:val="1"/>
          <w:numId w:val="4"/>
        </w:numPr>
        <w:spacing w:after="0" w:line="276" w:lineRule="auto"/>
        <w:rPr>
          <w:bCs/>
        </w:rPr>
      </w:pPr>
      <w:r w:rsidRPr="00014FF3">
        <w:rPr>
          <w:bCs/>
        </w:rPr>
        <w:t>Своевременная доставка грузов.</w:t>
      </w:r>
    </w:p>
    <w:p w:rsidR="008F4AFB" w:rsidRPr="00014FF3" w:rsidRDefault="008F4AFB" w:rsidP="008F4AFB">
      <w:pPr>
        <w:numPr>
          <w:ilvl w:val="1"/>
          <w:numId w:val="4"/>
        </w:numPr>
        <w:spacing w:after="0" w:line="276" w:lineRule="auto"/>
        <w:rPr>
          <w:bCs/>
        </w:rPr>
      </w:pPr>
      <w:r w:rsidRPr="00014FF3">
        <w:rPr>
          <w:bCs/>
        </w:rPr>
        <w:t>Гарантия целостности и сохранности груза.</w:t>
      </w:r>
    </w:p>
    <w:p w:rsidR="008F4AFB" w:rsidRPr="00014FF3" w:rsidRDefault="008F4AFB" w:rsidP="008F4AFB">
      <w:pPr>
        <w:numPr>
          <w:ilvl w:val="0"/>
          <w:numId w:val="4"/>
        </w:numPr>
        <w:spacing w:after="0" w:line="276" w:lineRule="auto"/>
        <w:rPr>
          <w:b/>
          <w:bCs/>
        </w:rPr>
      </w:pPr>
      <w:r w:rsidRPr="00014FF3">
        <w:rPr>
          <w:b/>
          <w:bCs/>
        </w:rPr>
        <w:t>Срок  оказания услуг</w:t>
      </w:r>
    </w:p>
    <w:p w:rsidR="008F4AFB" w:rsidRPr="00014FF3" w:rsidRDefault="008F4AFB" w:rsidP="008F4AFB">
      <w:pPr>
        <w:spacing w:after="0"/>
        <w:ind w:left="630"/>
        <w:rPr>
          <w:b/>
          <w:bCs/>
        </w:rPr>
      </w:pPr>
      <w:r w:rsidRPr="00014FF3">
        <w:rPr>
          <w:bCs/>
        </w:rPr>
        <w:t xml:space="preserve">  2.1 </w:t>
      </w:r>
      <w:r w:rsidRPr="00014FF3">
        <w:rPr>
          <w:color w:val="000000"/>
        </w:rPr>
        <w:t xml:space="preserve">Настоящий договор вступает в силу с момента его подписания обеими сторонами и действует один год </w:t>
      </w:r>
      <w:r w:rsidRPr="00014FF3">
        <w:t>или до момента оказания услуг на сумму согласно п. 4.8 договора, либо до истечения срока действия договора, в зависимости от того, какой момент наступит ранее, а в части не исполненных сторонами обязательств до полного их исполнения.</w:t>
      </w:r>
      <w:r w:rsidRPr="00014FF3">
        <w:rPr>
          <w:color w:val="FF0000"/>
        </w:rPr>
        <w:t xml:space="preserve"> </w:t>
      </w:r>
      <w:r w:rsidRPr="00014FF3">
        <w:rPr>
          <w:b/>
          <w:bCs/>
        </w:rPr>
        <w:t>Гарантии качества поставляемого груза</w:t>
      </w:r>
    </w:p>
    <w:p w:rsidR="008F4AFB" w:rsidRPr="00014FF3" w:rsidRDefault="008F4AFB" w:rsidP="008F4AFB">
      <w:pPr>
        <w:numPr>
          <w:ilvl w:val="1"/>
          <w:numId w:val="4"/>
        </w:numPr>
        <w:spacing w:after="0" w:line="276" w:lineRule="auto"/>
        <w:rPr>
          <w:bCs/>
        </w:rPr>
      </w:pPr>
      <w:r w:rsidRPr="00014FF3">
        <w:rPr>
          <w:bCs/>
        </w:rPr>
        <w:t>Перевозчик несет полную материальную ответственность за сохранность/порчу/утрату грузов во  время перевозки в пределах сумм указанных в товарной накладной.</w:t>
      </w:r>
    </w:p>
    <w:p w:rsidR="008F4AFB" w:rsidRPr="00014FF3" w:rsidRDefault="008F4AFB" w:rsidP="008F4AFB">
      <w:pPr>
        <w:numPr>
          <w:ilvl w:val="0"/>
          <w:numId w:val="4"/>
        </w:numPr>
        <w:spacing w:after="0" w:line="276" w:lineRule="auto"/>
        <w:rPr>
          <w:b/>
          <w:bCs/>
        </w:rPr>
      </w:pPr>
      <w:r w:rsidRPr="00014FF3">
        <w:rPr>
          <w:b/>
          <w:bCs/>
        </w:rPr>
        <w:t>Требования к перевозчику</w:t>
      </w:r>
    </w:p>
    <w:p w:rsidR="008F4AFB" w:rsidRPr="00014FF3" w:rsidRDefault="008F4AFB" w:rsidP="008F4AFB">
      <w:pPr>
        <w:numPr>
          <w:ilvl w:val="1"/>
          <w:numId w:val="4"/>
        </w:numPr>
        <w:spacing w:after="0"/>
      </w:pPr>
      <w:r w:rsidRPr="00014FF3">
        <w:t>Доставка грузов в установленные сроки. Обязательная организация страхования сроков доставки.</w:t>
      </w:r>
    </w:p>
    <w:p w:rsidR="008F4AFB" w:rsidRPr="00014FF3" w:rsidRDefault="008F4AFB" w:rsidP="008F4AFB">
      <w:pPr>
        <w:pStyle w:val="a3"/>
        <w:numPr>
          <w:ilvl w:val="1"/>
          <w:numId w:val="4"/>
        </w:numPr>
        <w:spacing w:after="60"/>
        <w:ind w:right="124"/>
        <w:contextualSpacing/>
      </w:pPr>
      <w:r w:rsidRPr="00014FF3">
        <w:t>Положительный опыт работы Компании на рынке предоставления транспортных усл</w:t>
      </w:r>
      <w:r w:rsidR="00014FF3" w:rsidRPr="00014FF3">
        <w:t xml:space="preserve">уг. (Предоставить </w:t>
      </w:r>
      <w:proofErr w:type="spellStart"/>
      <w:r w:rsidR="00014FF3" w:rsidRPr="00014FF3">
        <w:t>документально</w:t>
      </w:r>
      <w:r w:rsidRPr="00014FF3">
        <w:t>подтвержденные</w:t>
      </w:r>
      <w:proofErr w:type="spellEnd"/>
      <w:r w:rsidRPr="00014FF3">
        <w:t xml:space="preserve"> данные о наличии данного опыта и предоставить рекомендательных писем от клиентов с различных регионов РФ).</w:t>
      </w:r>
    </w:p>
    <w:p w:rsidR="008F4AFB" w:rsidRPr="00014FF3" w:rsidRDefault="008F4AFB" w:rsidP="008F4AFB">
      <w:pPr>
        <w:ind w:right="124" w:firstLine="709"/>
      </w:pPr>
      <w:r w:rsidRPr="00014FF3">
        <w:t>3.3 Наличие спец. транспорта для осуществление погрузо-разгрузочных работ.</w:t>
      </w:r>
    </w:p>
    <w:p w:rsidR="008F4AFB" w:rsidRPr="00014FF3" w:rsidRDefault="008F4AFB" w:rsidP="008F4AFB">
      <w:pPr>
        <w:ind w:left="142" w:right="124" w:firstLine="567"/>
      </w:pPr>
      <w:r w:rsidRPr="00014FF3">
        <w:t>3.4 Время исполнения внеплановой заявки на предоставление автотранспорта не более суток.</w:t>
      </w:r>
    </w:p>
    <w:p w:rsidR="008F4AFB" w:rsidRPr="00014FF3" w:rsidRDefault="008F4AFB" w:rsidP="008F4AFB">
      <w:pPr>
        <w:ind w:left="142" w:right="124" w:firstLine="567"/>
      </w:pPr>
      <w:r w:rsidRPr="00014FF3">
        <w:t xml:space="preserve">3.5 Наличие сайта Компании и/или иного информационного ресурса, позволяющего отслеживать передвижение грузов. </w:t>
      </w:r>
    </w:p>
    <w:p w:rsidR="008F4AFB" w:rsidRPr="00014FF3" w:rsidRDefault="008F4AFB" w:rsidP="008F4AFB">
      <w:pPr>
        <w:autoSpaceDE w:val="0"/>
        <w:autoSpaceDN w:val="0"/>
        <w:ind w:left="142" w:firstLine="567"/>
      </w:pPr>
      <w:r w:rsidRPr="00014FF3">
        <w:t xml:space="preserve">3.6 Возможно подачи заявки на доставку груза с помощью: заявка или через сайт, Заполненную заявку можно отправить по факсу, электронной почте, либо привезти на терминал, по телефону через специалиста контактного центра. </w:t>
      </w:r>
    </w:p>
    <w:p w:rsidR="008F4AFB" w:rsidRPr="00014FF3" w:rsidRDefault="008F4AFB" w:rsidP="008F4AFB">
      <w:pPr>
        <w:ind w:left="142" w:right="124" w:firstLine="567"/>
      </w:pPr>
      <w:r w:rsidRPr="00014FF3">
        <w:t>3.7  Страхование грузов (проект договора).</w:t>
      </w:r>
    </w:p>
    <w:p w:rsidR="008F4AFB" w:rsidRPr="00014FF3" w:rsidRDefault="008F4AFB" w:rsidP="008F4AFB">
      <w:pPr>
        <w:ind w:left="142" w:right="124" w:firstLine="567"/>
      </w:pPr>
      <w:r w:rsidRPr="00014FF3">
        <w:t>3.8 Наличие терминалов (предоставить договора аренды складов) в городах: Ангарск, Армавир, Балашиха Барнаул, Белгород, Бийск, Брянск, Владимир, Волгоград, Вологда, Екатеринбург, Иваново, Иркутск, Казань, Каменск-Уральский, Кемерово, Киров, Ковров, Краснодар, Красноярск, Москва, Мурманск, Нижний Новгород, Нижний Тагил, Новороссийск, Новосибирск, Омск, Орел, Пенза, Первоуральск, Пермь, Подольск, Ростов-на-Дону, Рязань, Самара, Санкт-Петербург, Саранск, Саратов, Сочи, Ставрополь, Таганрог, Тверь, Томск, Улан-Удэ, Уссурийск, Уфа, Хабаровск, Чебоксары, Челябинск, Чита, Ярославль.</w:t>
      </w:r>
    </w:p>
    <w:p w:rsidR="008F4AFB" w:rsidRPr="00014FF3" w:rsidRDefault="008F4AFB" w:rsidP="008F4AFB">
      <w:pPr>
        <w:ind w:left="142" w:right="124"/>
      </w:pPr>
      <w:r w:rsidRPr="00014FF3">
        <w:t>Основные направления доставки продукции: Московская область, Амурская область, Алтайский край, Воронежская область, Республика Удмуртия, Иркутская область, Краснодарский край, Кировская область, Республика Дагестан, Чувашская Республика, Тамбовская область, Нижегородская область, Ростовская область, Самарская область, Тюменская область, Ленинградская область, Республики Башкортостан, Республика Бурятии, Ульяновская область. Маршрут перевозки Груза осуществляется в соответствии с Заявкой Заказчика.</w:t>
      </w:r>
    </w:p>
    <w:p w:rsidR="008F4AFB" w:rsidRPr="00014FF3" w:rsidRDefault="008F4AFB" w:rsidP="008F4AFB">
      <w:pPr>
        <w:ind w:left="142" w:right="124" w:firstLine="567"/>
      </w:pPr>
      <w:r w:rsidRPr="00014FF3">
        <w:t>3.</w:t>
      </w:r>
      <w:proofErr w:type="gramStart"/>
      <w:r w:rsidRPr="00014FF3">
        <w:t>9.Отсутствие</w:t>
      </w:r>
      <w:proofErr w:type="gramEnd"/>
      <w:r w:rsidRPr="00014FF3">
        <w:t xml:space="preserve"> у Исполнителя задолженности по начисленным налогам, сборам и иным обязательным </w:t>
      </w:r>
      <w:r w:rsidRPr="00014FF3">
        <w:rPr>
          <w:u w:val="single"/>
        </w:rPr>
        <w:t>платежам в бюджеты</w:t>
      </w:r>
      <w:r w:rsidRPr="00014FF3">
        <w:t xml:space="preserve"> любого уровня или государственные внебюджетные фонды за прошедший календарного размер которой превышает двадцать пять процентов </w:t>
      </w:r>
      <w:r w:rsidRPr="00014FF3">
        <w:rPr>
          <w:u w:val="single"/>
        </w:rPr>
        <w:t>балансовой стоимости</w:t>
      </w:r>
      <w:r w:rsidRPr="00014FF3">
        <w:t xml:space="preserve"> активов по данным </w:t>
      </w:r>
      <w:r w:rsidRPr="00014FF3">
        <w:rPr>
          <w:u w:val="single"/>
        </w:rPr>
        <w:t>бухгалтерской отчетности</w:t>
      </w:r>
      <w:r w:rsidRPr="00014FF3">
        <w:t xml:space="preserve">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rsidR="008F4AFB" w:rsidRPr="00014FF3" w:rsidRDefault="008F4AFB" w:rsidP="008F4AFB">
      <w:pPr>
        <w:ind w:left="142" w:right="124" w:firstLine="129"/>
      </w:pPr>
      <w:r w:rsidRPr="00014FF3">
        <w:t xml:space="preserve">    3.10. Наличие возможности оказания на терминале Компании дополнительной упаковки: </w:t>
      </w:r>
      <w:proofErr w:type="spellStart"/>
      <w:r w:rsidRPr="00014FF3">
        <w:t>паллетный</w:t>
      </w:r>
      <w:proofErr w:type="spellEnd"/>
      <w:r w:rsidRPr="00014FF3">
        <w:t xml:space="preserve"> борт, жесткая упаковка, мешок, коробка, </w:t>
      </w:r>
      <w:proofErr w:type="spellStart"/>
      <w:r w:rsidRPr="00014FF3">
        <w:t>стрейч</w:t>
      </w:r>
      <w:proofErr w:type="spellEnd"/>
      <w:r w:rsidRPr="00014FF3">
        <w:t xml:space="preserve"> пленка и т. д..</w:t>
      </w:r>
    </w:p>
    <w:p w:rsidR="008F4AFB" w:rsidRPr="002E0FA7" w:rsidRDefault="008F4AFB" w:rsidP="008F4AFB">
      <w:pPr>
        <w:ind w:left="142" w:right="125" w:firstLine="129"/>
        <w:rPr>
          <w:b/>
        </w:rPr>
      </w:pPr>
      <w:r w:rsidRPr="00014FF3">
        <w:t xml:space="preserve">     3.11. Наличие терминалов в непосредственной близости от Клиента: </w:t>
      </w:r>
      <w:r w:rsidRPr="002E0FA7">
        <w:rPr>
          <w:b/>
        </w:rPr>
        <w:t>не боле</w:t>
      </w:r>
      <w:r w:rsidR="002E0FA7">
        <w:rPr>
          <w:b/>
        </w:rPr>
        <w:t>е 1</w:t>
      </w:r>
      <w:r w:rsidRPr="002E0FA7">
        <w:rPr>
          <w:b/>
        </w:rPr>
        <w:t>5км.</w:t>
      </w:r>
    </w:p>
    <w:p w:rsidR="008F4AFB" w:rsidRPr="00014FF3" w:rsidRDefault="008F4AFB" w:rsidP="008F4AFB">
      <w:pPr>
        <w:shd w:val="clear" w:color="auto" w:fill="FFFFFF"/>
        <w:spacing w:after="160" w:line="256" w:lineRule="auto"/>
        <w:rPr>
          <w:b/>
          <w:bCs/>
        </w:rPr>
      </w:pPr>
      <w:r w:rsidRPr="00014FF3">
        <w:lastRenderedPageBreak/>
        <w:t xml:space="preserve">          3.12. </w:t>
      </w:r>
      <w:r w:rsidRPr="00014FF3">
        <w:rPr>
          <w:rFonts w:eastAsia="Calibri"/>
          <w:lang w:eastAsia="en-US"/>
        </w:rPr>
        <w:t xml:space="preserve">Характер груза: металл – длинна </w:t>
      </w:r>
      <w:proofErr w:type="gramStart"/>
      <w:r w:rsidRPr="00014FF3">
        <w:rPr>
          <w:rFonts w:eastAsia="Calibri"/>
          <w:lang w:eastAsia="en-US"/>
        </w:rPr>
        <w:t>груза  возможна</w:t>
      </w:r>
      <w:proofErr w:type="gramEnd"/>
      <w:r w:rsidRPr="00014FF3">
        <w:rPr>
          <w:rFonts w:eastAsia="Calibri"/>
          <w:lang w:eastAsia="en-US"/>
        </w:rPr>
        <w:t xml:space="preserve"> до</w:t>
      </w:r>
      <w:r w:rsidR="00014FF3" w:rsidRPr="00014FF3">
        <w:rPr>
          <w:rFonts w:eastAsia="Calibri"/>
          <w:lang w:eastAsia="en-US"/>
        </w:rPr>
        <w:t xml:space="preserve"> 12</w:t>
      </w:r>
      <w:r w:rsidRPr="00014FF3">
        <w:rPr>
          <w:rFonts w:eastAsia="Calibri"/>
          <w:lang w:eastAsia="en-US"/>
        </w:rPr>
        <w:t xml:space="preserve"> метров</w:t>
      </w:r>
    </w:p>
    <w:p w:rsidR="008F4AFB" w:rsidRPr="00014FF3" w:rsidRDefault="008F4AFB" w:rsidP="008F4AFB">
      <w:pPr>
        <w:numPr>
          <w:ilvl w:val="0"/>
          <w:numId w:val="4"/>
        </w:numPr>
        <w:spacing w:after="0" w:line="276" w:lineRule="auto"/>
        <w:rPr>
          <w:b/>
          <w:bCs/>
        </w:rPr>
      </w:pPr>
      <w:r w:rsidRPr="00014FF3">
        <w:rPr>
          <w:b/>
          <w:bCs/>
        </w:rPr>
        <w:t>Основные требования к качеству  услуг:</w:t>
      </w:r>
    </w:p>
    <w:p w:rsidR="008F4AFB" w:rsidRPr="00014FF3" w:rsidRDefault="00EA6A96" w:rsidP="008F4AFB">
      <w:pPr>
        <w:spacing w:after="0"/>
        <w:ind w:left="993"/>
        <w:rPr>
          <w:bCs/>
        </w:rPr>
      </w:pPr>
      <w:r w:rsidRPr="00014FF3">
        <w:rPr>
          <w:bCs/>
        </w:rPr>
        <w:t>4</w:t>
      </w:r>
      <w:r w:rsidR="008F4AFB" w:rsidRPr="00014FF3">
        <w:rPr>
          <w:bCs/>
        </w:rPr>
        <w:t xml:space="preserve">.1. Автомобильные грузоперевозки до  г. Челябинск  и из г. Челябинск  по  РФ </w:t>
      </w:r>
    </w:p>
    <w:p w:rsidR="008F4AFB" w:rsidRPr="00014FF3" w:rsidRDefault="00EA6A96" w:rsidP="00EA6A96">
      <w:pPr>
        <w:spacing w:after="0"/>
      </w:pPr>
      <w:r w:rsidRPr="00014FF3">
        <w:t xml:space="preserve">                4.2. </w:t>
      </w:r>
      <w:r w:rsidR="008F4AFB" w:rsidRPr="00014FF3">
        <w:t xml:space="preserve"> 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rsidR="008F4AFB" w:rsidRPr="00014FF3" w:rsidRDefault="008F4AFB" w:rsidP="008F4AFB">
      <w:pPr>
        <w:spacing w:after="0"/>
        <w:rPr>
          <w:b/>
        </w:rPr>
      </w:pPr>
      <w:r w:rsidRPr="00014FF3">
        <w:rPr>
          <w:b/>
        </w:rPr>
        <w:t xml:space="preserve">    </w:t>
      </w:r>
      <w:r w:rsidR="00EA6A96" w:rsidRPr="00014FF3">
        <w:rPr>
          <w:b/>
        </w:rPr>
        <w:t>5</w:t>
      </w:r>
      <w:r w:rsidRPr="00014FF3">
        <w:rPr>
          <w:b/>
        </w:rPr>
        <w:t>. Требование по оформлению отчетности:</w:t>
      </w:r>
    </w:p>
    <w:p w:rsidR="008F4AFB" w:rsidRPr="00014FF3" w:rsidRDefault="00EA6A96" w:rsidP="008F4AFB">
      <w:pPr>
        <w:spacing w:after="0"/>
        <w:ind w:firstLine="993"/>
      </w:pPr>
      <w:r w:rsidRPr="00014FF3">
        <w:t>5</w:t>
      </w:r>
      <w:r w:rsidR="008F4AFB" w:rsidRPr="00014FF3">
        <w:t>.1 Предоставление актов сдачи-приемки оказанных услуг, предоставление заказчику  экземпляра накладной  при отправке груза.</w:t>
      </w:r>
    </w:p>
    <w:p w:rsidR="008F4AFB" w:rsidRPr="00014FF3" w:rsidRDefault="008F4AFB" w:rsidP="008F4AFB">
      <w:pPr>
        <w:spacing w:after="0"/>
        <w:ind w:firstLine="993"/>
      </w:pPr>
    </w:p>
    <w:p w:rsidR="008F4AFB" w:rsidRPr="00014FF3" w:rsidRDefault="008F4AFB" w:rsidP="008F4AFB">
      <w:pPr>
        <w:spacing w:after="0"/>
        <w:ind w:firstLine="993"/>
      </w:pPr>
    </w:p>
    <w:p w:rsidR="008F4AFB" w:rsidRPr="00014FF3" w:rsidRDefault="008F4AFB" w:rsidP="008F4AFB">
      <w:pPr>
        <w:spacing w:after="0"/>
        <w:ind w:firstLine="993"/>
      </w:pPr>
    </w:p>
    <w:p w:rsidR="008F4AFB" w:rsidRPr="00014FF3" w:rsidRDefault="008F4AFB" w:rsidP="008F4AFB">
      <w:pPr>
        <w:spacing w:after="0"/>
        <w:ind w:firstLine="993"/>
      </w:pPr>
    </w:p>
    <w:p w:rsidR="008F4AFB" w:rsidRPr="00014FF3" w:rsidRDefault="008F4AFB" w:rsidP="008F4AFB">
      <w:pPr>
        <w:spacing w:after="0" w:line="256" w:lineRule="auto"/>
        <w:rPr>
          <w:rFonts w:eastAsia="Calibri"/>
          <w:lang w:eastAsia="en-US"/>
        </w:rPr>
      </w:pPr>
      <w:r w:rsidRPr="00014FF3">
        <w:rPr>
          <w:rFonts w:eastAsia="Calibri"/>
          <w:lang w:eastAsia="en-US"/>
        </w:rPr>
        <w:t xml:space="preserve">Экспедитор:                                     </w:t>
      </w:r>
      <w:r w:rsidRPr="00014FF3">
        <w:rPr>
          <w:rFonts w:eastAsia="Calibri"/>
          <w:lang w:eastAsia="en-US"/>
        </w:rPr>
        <w:tab/>
      </w:r>
      <w:r w:rsidRPr="00014FF3">
        <w:rPr>
          <w:rFonts w:eastAsia="Calibri"/>
          <w:lang w:eastAsia="en-US"/>
        </w:rPr>
        <w:tab/>
      </w:r>
      <w:r w:rsidRPr="00014FF3">
        <w:rPr>
          <w:rFonts w:eastAsia="Calibri"/>
          <w:lang w:eastAsia="en-US"/>
        </w:rPr>
        <w:tab/>
        <w:t>Клиент: АО «ЗАВОД «ПРИБОР»</w:t>
      </w:r>
    </w:p>
    <w:p w:rsidR="008F4AFB" w:rsidRPr="00014FF3" w:rsidRDefault="008F4AFB" w:rsidP="008F4AFB">
      <w:pPr>
        <w:spacing w:after="0" w:line="256" w:lineRule="auto"/>
        <w:rPr>
          <w:rFonts w:eastAsia="Calibri"/>
          <w:lang w:eastAsia="en-US"/>
        </w:rPr>
      </w:pPr>
    </w:p>
    <w:p w:rsidR="008F4AFB" w:rsidRPr="00014FF3" w:rsidRDefault="009430D1" w:rsidP="008F4AFB">
      <w:pPr>
        <w:pStyle w:val="ConsPlusNormal"/>
        <w:widowControl/>
        <w:tabs>
          <w:tab w:val="left" w:pos="360"/>
        </w:tabs>
        <w:ind w:firstLine="0"/>
        <w:rPr>
          <w:rFonts w:ascii="Times New Roman" w:hAnsi="Times New Roman" w:cs="Times New Roman"/>
          <w:b/>
          <w:noProof/>
        </w:rPr>
      </w:pPr>
      <w:r>
        <w:rPr>
          <w:rFonts w:ascii="Times New Roman" w:eastAsia="Calibri" w:hAnsi="Times New Roman" w:cs="Times New Roman"/>
          <w:lang w:eastAsia="en-US"/>
        </w:rPr>
        <w:t>_______________/___            /</w:t>
      </w:r>
      <w:r w:rsidR="008F4AFB" w:rsidRPr="00014FF3">
        <w:rPr>
          <w:rFonts w:ascii="Times New Roman" w:eastAsia="Calibri" w:hAnsi="Times New Roman" w:cs="Times New Roman"/>
          <w:lang w:eastAsia="en-US"/>
        </w:rPr>
        <w:t>_______________________</w:t>
      </w:r>
      <w:r w:rsidR="008F4AFB" w:rsidRPr="00014FF3">
        <w:rPr>
          <w:rFonts w:ascii="Times New Roman" w:eastAsia="Calibri" w:hAnsi="Times New Roman" w:cs="Times New Roman"/>
          <w:lang w:eastAsia="en-US"/>
        </w:rPr>
        <w:tab/>
        <w:t>_______________/__</w:t>
      </w:r>
      <w:r>
        <w:rPr>
          <w:rFonts w:ascii="Times New Roman" w:eastAsia="Calibri" w:hAnsi="Times New Roman" w:cs="Times New Roman"/>
          <w:lang w:eastAsia="en-US"/>
        </w:rPr>
        <w:t xml:space="preserve">                /</w:t>
      </w:r>
      <w:bookmarkStart w:id="0" w:name="_GoBack"/>
      <w:bookmarkEnd w:id="0"/>
      <w:r w:rsidR="008F4AFB" w:rsidRPr="00014FF3">
        <w:rPr>
          <w:rFonts w:ascii="Times New Roman" w:eastAsia="Calibri" w:hAnsi="Times New Roman" w:cs="Times New Roman"/>
          <w:lang w:eastAsia="en-US"/>
        </w:rPr>
        <w:t>___________</w:t>
      </w:r>
    </w:p>
    <w:sectPr w:rsidR="008F4AFB" w:rsidRPr="00014FF3" w:rsidSect="00EE2A22">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7ABD"/>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00118C"/>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24407"/>
    <w:multiLevelType w:val="multilevel"/>
    <w:tmpl w:val="F3A24EF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68792674"/>
    <w:multiLevelType w:val="multilevel"/>
    <w:tmpl w:val="F05A5D80"/>
    <w:lvl w:ilvl="0">
      <w:start w:val="1"/>
      <w:numFmt w:val="decimal"/>
      <w:lvlText w:val="%1."/>
      <w:lvlJc w:val="left"/>
      <w:pPr>
        <w:ind w:left="58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2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440"/>
      </w:pPr>
      <w:rPr>
        <w:rFonts w:hint="default"/>
      </w:rPr>
    </w:lvl>
  </w:abstractNum>
  <w:abstractNum w:abstractNumId="4" w15:restartNumberingAfterBreak="0">
    <w:nsid w:val="6B987A7B"/>
    <w:multiLevelType w:val="multilevel"/>
    <w:tmpl w:val="CEB8239C"/>
    <w:lvl w:ilvl="0">
      <w:start w:val="1"/>
      <w:numFmt w:val="decimal"/>
      <w:lvlText w:val="%1."/>
      <w:lvlJc w:val="left"/>
      <w:pPr>
        <w:ind w:left="6597" w:hanging="360"/>
      </w:pPr>
      <w:rPr>
        <w:rFonts w:hint="default"/>
      </w:rPr>
    </w:lvl>
    <w:lvl w:ilvl="1">
      <w:start w:val="1"/>
      <w:numFmt w:val="decimal"/>
      <w:isLgl/>
      <w:lvlText w:val="%1.%2"/>
      <w:lvlJc w:val="left"/>
      <w:pPr>
        <w:ind w:left="6673" w:hanging="360"/>
      </w:pPr>
      <w:rPr>
        <w:rFonts w:hint="default"/>
      </w:rPr>
    </w:lvl>
    <w:lvl w:ilvl="2">
      <w:start w:val="1"/>
      <w:numFmt w:val="decimal"/>
      <w:isLgl/>
      <w:lvlText w:val="%1.%2.%3"/>
      <w:lvlJc w:val="left"/>
      <w:pPr>
        <w:ind w:left="7033" w:hanging="720"/>
      </w:pPr>
      <w:rPr>
        <w:rFonts w:hint="default"/>
      </w:rPr>
    </w:lvl>
    <w:lvl w:ilvl="3">
      <w:start w:val="1"/>
      <w:numFmt w:val="decimal"/>
      <w:isLgl/>
      <w:lvlText w:val="%1.%2.%3.%4"/>
      <w:lvlJc w:val="left"/>
      <w:pPr>
        <w:ind w:left="7033" w:hanging="72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393" w:hanging="108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7753" w:hanging="1440"/>
      </w:pPr>
      <w:rPr>
        <w:rFonts w:hint="default"/>
      </w:rPr>
    </w:lvl>
    <w:lvl w:ilvl="8">
      <w:start w:val="1"/>
      <w:numFmt w:val="decimal"/>
      <w:isLgl/>
      <w:lvlText w:val="%1.%2.%3.%4.%5.%6.%7.%8.%9"/>
      <w:lvlJc w:val="left"/>
      <w:pPr>
        <w:ind w:left="8113" w:hanging="180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47"/>
    <w:rsid w:val="00014FF3"/>
    <w:rsid w:val="001874F6"/>
    <w:rsid w:val="00277247"/>
    <w:rsid w:val="002E0FA7"/>
    <w:rsid w:val="00334733"/>
    <w:rsid w:val="00504BD7"/>
    <w:rsid w:val="0058666D"/>
    <w:rsid w:val="006A6B49"/>
    <w:rsid w:val="006E1D58"/>
    <w:rsid w:val="008F4AFB"/>
    <w:rsid w:val="009430D1"/>
    <w:rsid w:val="00976880"/>
    <w:rsid w:val="00A825CA"/>
    <w:rsid w:val="00AE4B37"/>
    <w:rsid w:val="00CE20EF"/>
    <w:rsid w:val="00EA6A96"/>
    <w:rsid w:val="00EE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6A96"/>
  <w15:docId w15:val="{15B8534A-B4B0-4E1A-B8F3-B6586F27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66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Булет1,1Булет"/>
    <w:basedOn w:val="a"/>
    <w:link w:val="a4"/>
    <w:uiPriority w:val="34"/>
    <w:qFormat/>
    <w:rsid w:val="00976880"/>
    <w:pPr>
      <w:spacing w:after="0"/>
      <w:ind w:left="720"/>
    </w:pPr>
  </w:style>
  <w:style w:type="character" w:customStyle="1" w:styleId="a4">
    <w:name w:val="Абзац списка Знак"/>
    <w:aliases w:val="Bullet List Знак,FooterText Знак,numbered Знак,Paragraphe de liste1 Знак,lp1 Знак,Булет1 Знак,1Булет Знак"/>
    <w:link w:val="a3"/>
    <w:uiPriority w:val="99"/>
    <w:rsid w:val="00976880"/>
    <w:rPr>
      <w:rFonts w:ascii="Times New Roman" w:eastAsia="Times New Roman" w:hAnsi="Times New Roman" w:cs="Times New Roman"/>
      <w:sz w:val="24"/>
      <w:szCs w:val="24"/>
      <w:lang w:eastAsia="ru-RU"/>
    </w:rPr>
  </w:style>
  <w:style w:type="paragraph" w:styleId="a5">
    <w:name w:val="No Spacing"/>
    <w:uiPriority w:val="1"/>
    <w:qFormat/>
    <w:rsid w:val="00504BD7"/>
    <w:pPr>
      <w:suppressAutoHyphens/>
      <w:spacing w:after="0" w:line="240" w:lineRule="auto"/>
    </w:pPr>
    <w:rPr>
      <w:rFonts w:ascii="Calibri" w:eastAsia="Calibri" w:hAnsi="Calibri" w:cs="Calibri"/>
      <w:lang w:eastAsia="zh-CN"/>
    </w:rPr>
  </w:style>
  <w:style w:type="paragraph" w:customStyle="1" w:styleId="Default">
    <w:name w:val="Default"/>
    <w:rsid w:val="00504BD7"/>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onsPlusNormal">
    <w:name w:val="ConsPlusNormal"/>
    <w:rsid w:val="008F4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rsid w:val="008F4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mail.ru\compose\%3fmailto=mailto%253adyuryagina_LG@priborpl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CC1515-8080-4AA9-93AD-EBDD2494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 Игорь Александрович</dc:creator>
  <cp:lastModifiedBy>Дюрягина Лилия Григорьевна</cp:lastModifiedBy>
  <cp:revision>15</cp:revision>
  <dcterms:created xsi:type="dcterms:W3CDTF">2023-07-26T07:18:00Z</dcterms:created>
  <dcterms:modified xsi:type="dcterms:W3CDTF">2025-11-21T07:20:00Z</dcterms:modified>
</cp:coreProperties>
</file>