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DF9" w:rsidRPr="00603DF9" w:rsidRDefault="00603DF9" w:rsidP="00603DF9">
      <w:pPr>
        <w:spacing w:after="0"/>
        <w:jc w:val="right"/>
        <w:rPr>
          <w:rFonts w:ascii="Times New Roman" w:hAnsi="Times New Roman" w:cs="Times New Roman"/>
        </w:rPr>
      </w:pPr>
      <w:r w:rsidRPr="00603DF9">
        <w:rPr>
          <w:rFonts w:ascii="Times New Roman" w:hAnsi="Times New Roman" w:cs="Times New Roman"/>
        </w:rPr>
        <w:t>Приложение №2</w:t>
      </w:r>
    </w:p>
    <w:p w:rsidR="00603DF9" w:rsidRPr="00603DF9" w:rsidRDefault="00603DF9" w:rsidP="00603DF9">
      <w:pPr>
        <w:spacing w:after="0"/>
        <w:jc w:val="right"/>
        <w:rPr>
          <w:rFonts w:ascii="Times New Roman" w:hAnsi="Times New Roman" w:cs="Times New Roman"/>
        </w:rPr>
      </w:pPr>
      <w:r w:rsidRPr="00603DF9">
        <w:rPr>
          <w:rFonts w:ascii="Times New Roman" w:hAnsi="Times New Roman" w:cs="Times New Roman"/>
        </w:rPr>
        <w:t xml:space="preserve"> к договору поставки № ___от «___» _________ 2025 г.</w:t>
      </w:r>
    </w:p>
    <w:p w:rsidR="004919AF" w:rsidRPr="00603DF9" w:rsidRDefault="004919AF" w:rsidP="004919AF">
      <w:pPr>
        <w:spacing w:after="120" w:line="240" w:lineRule="auto"/>
        <w:jc w:val="center"/>
        <w:rPr>
          <w:rFonts w:ascii="Times New Roman" w:hAnsi="Times New Roman" w:cs="Times New Roman"/>
          <w:b/>
          <w:sz w:val="28"/>
          <w:szCs w:val="28"/>
        </w:rPr>
      </w:pPr>
      <w:r w:rsidRPr="00603DF9">
        <w:rPr>
          <w:rFonts w:ascii="Times New Roman" w:hAnsi="Times New Roman" w:cs="Times New Roman"/>
          <w:b/>
          <w:sz w:val="28"/>
          <w:szCs w:val="28"/>
        </w:rPr>
        <w:t>Техническое задание</w:t>
      </w:r>
    </w:p>
    <w:p w:rsidR="004919AF" w:rsidRPr="00BC1B52" w:rsidRDefault="004919AF" w:rsidP="004919AF">
      <w:pPr>
        <w:pStyle w:val="a3"/>
        <w:numPr>
          <w:ilvl w:val="0"/>
          <w:numId w:val="1"/>
        </w:numPr>
        <w:ind w:left="0" w:firstLine="0"/>
        <w:contextualSpacing/>
        <w:jc w:val="both"/>
        <w:rPr>
          <w:sz w:val="22"/>
          <w:szCs w:val="22"/>
        </w:rPr>
      </w:pPr>
      <w:r w:rsidRPr="00BC1B52">
        <w:rPr>
          <w:b/>
          <w:sz w:val="22"/>
          <w:szCs w:val="22"/>
        </w:rPr>
        <w:t>Условия поставки:</w:t>
      </w:r>
      <w:r w:rsidRPr="00BC1B52">
        <w:rPr>
          <w:sz w:val="22"/>
          <w:szCs w:val="22"/>
        </w:rPr>
        <w:t xml:space="preserve"> Поставка </w:t>
      </w:r>
      <w:proofErr w:type="gramStart"/>
      <w:r w:rsidRPr="00BC1B52">
        <w:rPr>
          <w:sz w:val="22"/>
          <w:szCs w:val="22"/>
        </w:rPr>
        <w:t>осуществляется  на</w:t>
      </w:r>
      <w:proofErr w:type="gramEnd"/>
      <w:r w:rsidRPr="00BC1B52">
        <w:rPr>
          <w:sz w:val="22"/>
          <w:szCs w:val="22"/>
        </w:rPr>
        <w:t xml:space="preserve"> основании заявки подаваемой Покупателем, в которых указывается количество и срок поставки в рамках заключенного договора. </w:t>
      </w:r>
    </w:p>
    <w:p w:rsidR="004919AF" w:rsidRPr="00BC1B52" w:rsidRDefault="004919AF" w:rsidP="004919AF">
      <w:pPr>
        <w:pStyle w:val="a3"/>
        <w:numPr>
          <w:ilvl w:val="0"/>
          <w:numId w:val="1"/>
        </w:numPr>
        <w:ind w:left="0" w:firstLine="0"/>
        <w:contextualSpacing/>
        <w:jc w:val="both"/>
        <w:rPr>
          <w:sz w:val="22"/>
          <w:szCs w:val="22"/>
        </w:rPr>
      </w:pPr>
      <w:r w:rsidRPr="00BC1B52">
        <w:rPr>
          <w:b/>
          <w:sz w:val="22"/>
          <w:szCs w:val="22"/>
        </w:rPr>
        <w:t>Место поставки товара:</w:t>
      </w:r>
      <w:r w:rsidRPr="00BC1B52">
        <w:rPr>
          <w:sz w:val="22"/>
          <w:szCs w:val="22"/>
        </w:rPr>
        <w:t xml:space="preserve"> г. Челябинск, Комсомольский пр-т, 29.</w:t>
      </w:r>
    </w:p>
    <w:p w:rsidR="004919AF" w:rsidRPr="00BC1B52" w:rsidRDefault="004919AF" w:rsidP="004919AF">
      <w:pPr>
        <w:spacing w:line="240" w:lineRule="auto"/>
        <w:jc w:val="both"/>
        <w:rPr>
          <w:rFonts w:ascii="Times New Roman" w:hAnsi="Times New Roman" w:cs="Times New Roman"/>
        </w:rPr>
      </w:pPr>
      <w:r w:rsidRPr="00BC1B52">
        <w:rPr>
          <w:rFonts w:ascii="Times New Roman" w:hAnsi="Times New Roman" w:cs="Times New Roman"/>
          <w:b/>
        </w:rPr>
        <w:t xml:space="preserve">Срок </w:t>
      </w:r>
      <w:proofErr w:type="gramStart"/>
      <w:r w:rsidRPr="00BC1B52">
        <w:rPr>
          <w:rFonts w:ascii="Times New Roman" w:hAnsi="Times New Roman" w:cs="Times New Roman"/>
          <w:b/>
        </w:rPr>
        <w:t>поставки:</w:t>
      </w:r>
      <w:r w:rsidRPr="00BC1B52">
        <w:rPr>
          <w:rFonts w:ascii="Times New Roman" w:hAnsi="Times New Roman" w:cs="Times New Roman"/>
        </w:rPr>
        <w:t xml:space="preserve">  в</w:t>
      </w:r>
      <w:proofErr w:type="gramEnd"/>
      <w:r w:rsidRPr="00BC1B52">
        <w:rPr>
          <w:rFonts w:ascii="Times New Roman" w:hAnsi="Times New Roman" w:cs="Times New Roman"/>
        </w:rPr>
        <w:t xml:space="preserve">  течение 5 календарных дней с момента поступления заявки от Покупателя. </w:t>
      </w:r>
    </w:p>
    <w:p w:rsidR="004919AF" w:rsidRPr="00BC1B52" w:rsidRDefault="004919AF" w:rsidP="004919AF">
      <w:pPr>
        <w:spacing w:line="240" w:lineRule="auto"/>
        <w:jc w:val="both"/>
        <w:rPr>
          <w:rFonts w:ascii="Times New Roman" w:hAnsi="Times New Roman" w:cs="Times New Roman"/>
          <w:noProof/>
        </w:rPr>
      </w:pPr>
      <w:r w:rsidRPr="00BC1B52">
        <w:rPr>
          <w:rFonts w:ascii="Times New Roman" w:hAnsi="Times New Roman" w:cs="Times New Roman"/>
          <w:b/>
        </w:rPr>
        <w:t>Условие оплаты:</w:t>
      </w:r>
      <w:r w:rsidRPr="00BC1B52">
        <w:rPr>
          <w:rFonts w:ascii="Times New Roman" w:hAnsi="Times New Roman" w:cs="Times New Roman"/>
        </w:rPr>
        <w:t xml:space="preserve"> </w:t>
      </w:r>
      <w:r w:rsidRPr="00BC1B52">
        <w:rPr>
          <w:rFonts w:ascii="Times New Roman" w:hAnsi="Times New Roman" w:cs="Times New Roman"/>
          <w:noProof/>
        </w:rPr>
        <w:t xml:space="preserve">Оплата производится в рублях перечислением денежных средств Покупателем на расчетный счет Поставщика безналичным платежом. Постоплата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Дата поставки определяется по дате подписания передаточного документа (УПД, либо товарной накладной формы ТОРГ-12 и счета-фактуры).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567"/>
        <w:gridCol w:w="850"/>
        <w:gridCol w:w="1276"/>
        <w:gridCol w:w="1559"/>
      </w:tblGrid>
      <w:tr w:rsidR="004919AF" w:rsidRPr="00BC1B52" w:rsidTr="005D1C86">
        <w:tc>
          <w:tcPr>
            <w:tcW w:w="534" w:type="dxa"/>
            <w:shd w:val="clear" w:color="auto" w:fill="auto"/>
          </w:tcPr>
          <w:p w:rsidR="004919AF" w:rsidRPr="00BC1B52" w:rsidRDefault="004919AF" w:rsidP="00AF3F1A">
            <w:pPr>
              <w:pStyle w:val="a3"/>
              <w:ind w:left="0"/>
              <w:jc w:val="center"/>
              <w:rPr>
                <w:b/>
                <w:sz w:val="22"/>
                <w:szCs w:val="22"/>
              </w:rPr>
            </w:pPr>
            <w:r w:rsidRPr="00BC1B52">
              <w:rPr>
                <w:sz w:val="22"/>
                <w:szCs w:val="22"/>
              </w:rPr>
              <w:t xml:space="preserve"> </w:t>
            </w:r>
            <w:r w:rsidRPr="00BC1B52">
              <w:rPr>
                <w:b/>
                <w:sz w:val="22"/>
                <w:szCs w:val="22"/>
              </w:rPr>
              <w:t>№ п/п</w:t>
            </w:r>
          </w:p>
        </w:tc>
        <w:tc>
          <w:tcPr>
            <w:tcW w:w="4961" w:type="dxa"/>
            <w:shd w:val="clear" w:color="auto" w:fill="auto"/>
          </w:tcPr>
          <w:p w:rsidR="004919AF" w:rsidRPr="00BC1B52" w:rsidRDefault="004919AF" w:rsidP="00AF3F1A">
            <w:pPr>
              <w:pStyle w:val="a3"/>
              <w:ind w:left="0"/>
              <w:jc w:val="center"/>
              <w:rPr>
                <w:b/>
                <w:sz w:val="22"/>
                <w:szCs w:val="22"/>
              </w:rPr>
            </w:pPr>
            <w:r w:rsidRPr="00BC1B52">
              <w:rPr>
                <w:b/>
                <w:sz w:val="22"/>
                <w:szCs w:val="22"/>
              </w:rPr>
              <w:t>Наименование, технические характеристики товара</w:t>
            </w:r>
          </w:p>
        </w:tc>
        <w:tc>
          <w:tcPr>
            <w:tcW w:w="567" w:type="dxa"/>
            <w:shd w:val="clear" w:color="auto" w:fill="auto"/>
          </w:tcPr>
          <w:p w:rsidR="004919AF" w:rsidRPr="00BC1B52" w:rsidRDefault="004919AF" w:rsidP="00AF3F1A">
            <w:pPr>
              <w:pStyle w:val="a3"/>
              <w:ind w:left="0"/>
              <w:jc w:val="center"/>
              <w:rPr>
                <w:b/>
                <w:sz w:val="22"/>
                <w:szCs w:val="22"/>
              </w:rPr>
            </w:pPr>
            <w:r w:rsidRPr="00BC1B52">
              <w:rPr>
                <w:b/>
                <w:sz w:val="22"/>
                <w:szCs w:val="22"/>
              </w:rPr>
              <w:t xml:space="preserve">Ед. </w:t>
            </w:r>
            <w:proofErr w:type="spellStart"/>
            <w:r w:rsidRPr="00BC1B52">
              <w:rPr>
                <w:b/>
                <w:sz w:val="22"/>
                <w:szCs w:val="22"/>
              </w:rPr>
              <w:t>измер</w:t>
            </w:r>
            <w:proofErr w:type="spellEnd"/>
            <w:r w:rsidRPr="00BC1B52">
              <w:rPr>
                <w:b/>
                <w:sz w:val="22"/>
                <w:szCs w:val="22"/>
              </w:rPr>
              <w:t>.</w:t>
            </w:r>
          </w:p>
        </w:tc>
        <w:tc>
          <w:tcPr>
            <w:tcW w:w="850" w:type="dxa"/>
            <w:shd w:val="clear" w:color="auto" w:fill="auto"/>
          </w:tcPr>
          <w:p w:rsidR="004919AF" w:rsidRPr="00BC1B52" w:rsidRDefault="004919AF" w:rsidP="00AF3F1A">
            <w:pPr>
              <w:pStyle w:val="a3"/>
              <w:ind w:left="0"/>
              <w:jc w:val="center"/>
              <w:rPr>
                <w:b/>
                <w:sz w:val="22"/>
                <w:szCs w:val="22"/>
              </w:rPr>
            </w:pPr>
            <w:r w:rsidRPr="00BC1B52">
              <w:rPr>
                <w:b/>
                <w:sz w:val="22"/>
                <w:szCs w:val="22"/>
              </w:rPr>
              <w:t>Кол-во</w:t>
            </w:r>
          </w:p>
        </w:tc>
        <w:tc>
          <w:tcPr>
            <w:tcW w:w="1276" w:type="dxa"/>
            <w:shd w:val="clear" w:color="auto" w:fill="auto"/>
          </w:tcPr>
          <w:p w:rsidR="004919AF" w:rsidRPr="00BC1B52" w:rsidRDefault="004919AF" w:rsidP="00AF3F1A">
            <w:pPr>
              <w:pStyle w:val="a3"/>
              <w:ind w:left="0"/>
              <w:jc w:val="center"/>
              <w:rPr>
                <w:b/>
                <w:sz w:val="22"/>
                <w:szCs w:val="22"/>
              </w:rPr>
            </w:pPr>
            <w:r w:rsidRPr="00BC1B52">
              <w:rPr>
                <w:b/>
                <w:sz w:val="22"/>
                <w:szCs w:val="22"/>
              </w:rPr>
              <w:t>Цена за ед. изм. (с НДС) руб.</w:t>
            </w:r>
          </w:p>
        </w:tc>
        <w:tc>
          <w:tcPr>
            <w:tcW w:w="1559" w:type="dxa"/>
            <w:shd w:val="clear" w:color="auto" w:fill="auto"/>
          </w:tcPr>
          <w:p w:rsidR="004919AF" w:rsidRPr="00BC1B52" w:rsidRDefault="004919AF" w:rsidP="00AF3F1A">
            <w:pPr>
              <w:pStyle w:val="a3"/>
              <w:ind w:left="0"/>
              <w:jc w:val="center"/>
              <w:rPr>
                <w:b/>
                <w:sz w:val="22"/>
                <w:szCs w:val="22"/>
              </w:rPr>
            </w:pPr>
            <w:r w:rsidRPr="00BC1B52">
              <w:rPr>
                <w:b/>
                <w:sz w:val="22"/>
                <w:szCs w:val="22"/>
              </w:rPr>
              <w:t xml:space="preserve">Сумма (с НДС) </w:t>
            </w:r>
            <w:proofErr w:type="spellStart"/>
            <w:r w:rsidRPr="00BC1B52">
              <w:rPr>
                <w:b/>
                <w:sz w:val="22"/>
                <w:szCs w:val="22"/>
              </w:rPr>
              <w:t>руб</w:t>
            </w:r>
            <w:proofErr w:type="spellEnd"/>
          </w:p>
        </w:tc>
      </w:tr>
      <w:tr w:rsidR="004919AF" w:rsidRPr="00BC1B52" w:rsidTr="005D1C86">
        <w:tc>
          <w:tcPr>
            <w:tcW w:w="534" w:type="dxa"/>
            <w:shd w:val="clear" w:color="auto" w:fill="auto"/>
          </w:tcPr>
          <w:p w:rsidR="004919AF" w:rsidRPr="00BC1B52" w:rsidRDefault="004919AF" w:rsidP="00AF3F1A">
            <w:pPr>
              <w:pStyle w:val="a3"/>
              <w:ind w:left="0"/>
              <w:jc w:val="center"/>
              <w:rPr>
                <w:sz w:val="22"/>
                <w:szCs w:val="22"/>
              </w:rPr>
            </w:pPr>
            <w:r w:rsidRPr="00BC1B52">
              <w:rPr>
                <w:sz w:val="22"/>
                <w:szCs w:val="22"/>
              </w:rPr>
              <w:t>1</w:t>
            </w:r>
          </w:p>
        </w:tc>
        <w:tc>
          <w:tcPr>
            <w:tcW w:w="4961" w:type="dxa"/>
            <w:shd w:val="clear" w:color="auto" w:fill="auto"/>
          </w:tcPr>
          <w:p w:rsidR="004919AF" w:rsidRPr="00BC1B52" w:rsidRDefault="004919AF" w:rsidP="00AF3F1A">
            <w:pPr>
              <w:pStyle w:val="a3"/>
              <w:ind w:left="0"/>
              <w:jc w:val="both"/>
              <w:rPr>
                <w:sz w:val="22"/>
                <w:szCs w:val="22"/>
              </w:rPr>
            </w:pPr>
            <w:r w:rsidRPr="00BC1B52">
              <w:rPr>
                <w:sz w:val="22"/>
                <w:szCs w:val="22"/>
                <w:lang w:eastAsia="en-US"/>
              </w:rPr>
              <w:t>Гелий марки А  ТУ 0271-135-31323949-2005 с изм. 1-5,  объем баллона 5,25 м3 ( 40 литров)</w:t>
            </w:r>
          </w:p>
        </w:tc>
        <w:tc>
          <w:tcPr>
            <w:tcW w:w="567" w:type="dxa"/>
            <w:shd w:val="clear" w:color="auto" w:fill="auto"/>
          </w:tcPr>
          <w:p w:rsidR="004919AF" w:rsidRPr="00BC1B52" w:rsidRDefault="004919AF" w:rsidP="00AF3F1A">
            <w:pPr>
              <w:pStyle w:val="a3"/>
              <w:ind w:left="0"/>
              <w:jc w:val="center"/>
              <w:rPr>
                <w:sz w:val="22"/>
                <w:szCs w:val="22"/>
              </w:rPr>
            </w:pPr>
            <w:proofErr w:type="spellStart"/>
            <w:r w:rsidRPr="00BC1B52">
              <w:rPr>
                <w:sz w:val="22"/>
                <w:szCs w:val="22"/>
              </w:rPr>
              <w:t>шт</w:t>
            </w:r>
            <w:proofErr w:type="spellEnd"/>
          </w:p>
        </w:tc>
        <w:tc>
          <w:tcPr>
            <w:tcW w:w="850" w:type="dxa"/>
            <w:shd w:val="clear" w:color="auto" w:fill="auto"/>
          </w:tcPr>
          <w:p w:rsidR="004919AF" w:rsidRPr="00BC1B52" w:rsidRDefault="00F9158F" w:rsidP="00AF3F1A">
            <w:pPr>
              <w:pStyle w:val="a3"/>
              <w:ind w:left="0"/>
              <w:jc w:val="right"/>
              <w:rPr>
                <w:sz w:val="22"/>
                <w:szCs w:val="22"/>
              </w:rPr>
            </w:pPr>
            <w:r>
              <w:rPr>
                <w:sz w:val="22"/>
                <w:szCs w:val="22"/>
              </w:rPr>
              <w:t>6</w:t>
            </w:r>
            <w:bookmarkStart w:id="0" w:name="_GoBack"/>
            <w:bookmarkEnd w:id="0"/>
            <w:r w:rsidR="004919AF" w:rsidRPr="00BC1B52">
              <w:rPr>
                <w:sz w:val="22"/>
                <w:szCs w:val="22"/>
              </w:rPr>
              <w:t>0</w:t>
            </w:r>
          </w:p>
        </w:tc>
        <w:tc>
          <w:tcPr>
            <w:tcW w:w="1276" w:type="dxa"/>
            <w:shd w:val="clear" w:color="auto" w:fill="auto"/>
          </w:tcPr>
          <w:p w:rsidR="004919AF" w:rsidRPr="00BC1B52" w:rsidRDefault="004919AF" w:rsidP="004919AF">
            <w:pPr>
              <w:pStyle w:val="a3"/>
              <w:ind w:left="0"/>
              <w:jc w:val="right"/>
              <w:rPr>
                <w:sz w:val="22"/>
                <w:szCs w:val="22"/>
                <w:highlight w:val="yellow"/>
              </w:rPr>
            </w:pPr>
          </w:p>
        </w:tc>
        <w:tc>
          <w:tcPr>
            <w:tcW w:w="1559" w:type="dxa"/>
            <w:shd w:val="clear" w:color="auto" w:fill="auto"/>
          </w:tcPr>
          <w:p w:rsidR="004919AF" w:rsidRPr="00BC1B52" w:rsidRDefault="004919AF" w:rsidP="004919AF">
            <w:pPr>
              <w:pStyle w:val="a3"/>
              <w:ind w:left="0"/>
              <w:jc w:val="right"/>
              <w:rPr>
                <w:sz w:val="22"/>
                <w:szCs w:val="22"/>
              </w:rPr>
            </w:pPr>
          </w:p>
        </w:tc>
      </w:tr>
      <w:tr w:rsidR="004919AF" w:rsidRPr="00BC1B52" w:rsidTr="005D1C86">
        <w:tc>
          <w:tcPr>
            <w:tcW w:w="8188" w:type="dxa"/>
            <w:gridSpan w:val="5"/>
            <w:shd w:val="clear" w:color="auto" w:fill="auto"/>
          </w:tcPr>
          <w:p w:rsidR="004919AF" w:rsidRPr="00BC1B52" w:rsidRDefault="004919AF" w:rsidP="00031DC6">
            <w:pPr>
              <w:pStyle w:val="a3"/>
              <w:ind w:left="0"/>
              <w:jc w:val="both"/>
              <w:rPr>
                <w:b/>
                <w:sz w:val="22"/>
                <w:szCs w:val="22"/>
              </w:rPr>
            </w:pPr>
            <w:r w:rsidRPr="00BC1B52">
              <w:rPr>
                <w:b/>
                <w:sz w:val="22"/>
                <w:szCs w:val="22"/>
              </w:rPr>
              <w:t xml:space="preserve">Итого в том числе НДС </w:t>
            </w:r>
            <w:r w:rsidR="00031DC6">
              <w:rPr>
                <w:b/>
                <w:sz w:val="22"/>
                <w:szCs w:val="22"/>
              </w:rPr>
              <w:t>____</w:t>
            </w:r>
            <w:r w:rsidRPr="00BC1B52">
              <w:rPr>
                <w:b/>
                <w:sz w:val="22"/>
                <w:szCs w:val="22"/>
              </w:rPr>
              <w:t>%</w:t>
            </w:r>
          </w:p>
        </w:tc>
        <w:tc>
          <w:tcPr>
            <w:tcW w:w="1559" w:type="dxa"/>
            <w:shd w:val="clear" w:color="auto" w:fill="auto"/>
          </w:tcPr>
          <w:p w:rsidR="004919AF" w:rsidRPr="00BC1B52" w:rsidRDefault="004919AF" w:rsidP="00AF3F1A">
            <w:pPr>
              <w:pStyle w:val="a3"/>
              <w:ind w:left="0"/>
              <w:jc w:val="right"/>
              <w:rPr>
                <w:b/>
                <w:sz w:val="22"/>
                <w:szCs w:val="22"/>
              </w:rPr>
            </w:pPr>
          </w:p>
        </w:tc>
      </w:tr>
    </w:tbl>
    <w:p w:rsidR="004919AF" w:rsidRPr="00BC1B52" w:rsidRDefault="004919AF" w:rsidP="00BC1B52">
      <w:pPr>
        <w:spacing w:line="240" w:lineRule="atLeast"/>
        <w:rPr>
          <w:rFonts w:ascii="Times New Roman" w:hAnsi="Times New Roman" w:cs="Times New Roman"/>
          <w:b/>
        </w:rPr>
      </w:pPr>
      <w:r w:rsidRPr="00BC1B52">
        <w:rPr>
          <w:rFonts w:ascii="Times New Roman" w:hAnsi="Times New Roman" w:cs="Times New Roman"/>
          <w:b/>
        </w:rPr>
        <w:t xml:space="preserve"> Общие требования:</w:t>
      </w:r>
    </w:p>
    <w:p w:rsidR="004919AF" w:rsidRPr="00BC1B52" w:rsidRDefault="004919AF" w:rsidP="00BC1B52">
      <w:pPr>
        <w:spacing w:line="240" w:lineRule="atLeast"/>
        <w:jc w:val="both"/>
        <w:rPr>
          <w:rFonts w:ascii="Times New Roman" w:hAnsi="Times New Roman" w:cs="Times New Roman"/>
        </w:rPr>
      </w:pPr>
      <w:r w:rsidRPr="00BC1B52">
        <w:rPr>
          <w:rFonts w:ascii="Times New Roman" w:hAnsi="Times New Roman" w:cs="Times New Roman"/>
        </w:rPr>
        <w:t xml:space="preserve">     -  Срок годности Товара определяется на основании нормативно-технической документации: НТД фирмы-производителя. Остаточный срок годности/</w:t>
      </w:r>
      <w:proofErr w:type="spellStart"/>
      <w:r w:rsidRPr="00BC1B52">
        <w:rPr>
          <w:rFonts w:ascii="Times New Roman" w:hAnsi="Times New Roman" w:cs="Times New Roman"/>
        </w:rPr>
        <w:t>сохраняемости</w:t>
      </w:r>
      <w:proofErr w:type="spellEnd"/>
      <w:r w:rsidRPr="00BC1B52">
        <w:rPr>
          <w:rFonts w:ascii="Times New Roman" w:hAnsi="Times New Roman" w:cs="Times New Roman"/>
        </w:rPr>
        <w:t xml:space="preserve"> на момент поставки не менее 80% от срока хранения, указанного в НТД фирмы-производителя на данный вид товара.</w:t>
      </w:r>
    </w:p>
    <w:p w:rsidR="004919AF" w:rsidRPr="00BC1B52" w:rsidRDefault="004919AF" w:rsidP="00BC1B52">
      <w:pPr>
        <w:spacing w:line="240" w:lineRule="atLeast"/>
        <w:jc w:val="both"/>
        <w:rPr>
          <w:rFonts w:ascii="Times New Roman" w:hAnsi="Times New Roman" w:cs="Times New Roman"/>
        </w:rPr>
      </w:pPr>
      <w:r w:rsidRPr="00BC1B52">
        <w:rPr>
          <w:rFonts w:ascii="Times New Roman" w:hAnsi="Times New Roman" w:cs="Times New Roman"/>
        </w:rPr>
        <w:t xml:space="preserve">      - Товар должен быть пригоден для целей, для которых товар такого рода обычно используется. </w:t>
      </w:r>
    </w:p>
    <w:p w:rsidR="004919AF" w:rsidRPr="00BC1B52" w:rsidRDefault="004919AF" w:rsidP="00BC1B52">
      <w:pPr>
        <w:spacing w:line="240" w:lineRule="atLeast"/>
        <w:jc w:val="both"/>
        <w:rPr>
          <w:rFonts w:ascii="Times New Roman" w:hAnsi="Times New Roman" w:cs="Times New Roman"/>
        </w:rPr>
      </w:pPr>
      <w:r w:rsidRPr="00BC1B52">
        <w:rPr>
          <w:rFonts w:ascii="Times New Roman" w:hAnsi="Times New Roman" w:cs="Times New Roman"/>
        </w:rPr>
        <w:t xml:space="preserve">      -  Качество поставленного должно соответствовать ТУ или </w:t>
      </w:r>
      <w:proofErr w:type="gramStart"/>
      <w:r w:rsidRPr="00BC1B52">
        <w:rPr>
          <w:rFonts w:ascii="Times New Roman" w:hAnsi="Times New Roman" w:cs="Times New Roman"/>
        </w:rPr>
        <w:t>ГОСТ,  подтверждено</w:t>
      </w:r>
      <w:proofErr w:type="gramEnd"/>
      <w:r w:rsidRPr="00BC1B52">
        <w:rPr>
          <w:rFonts w:ascii="Times New Roman" w:hAnsi="Times New Roman" w:cs="Times New Roman"/>
        </w:rPr>
        <w:t xml:space="preserve"> паспортом, сертификатом соответствия, обязательными для данного вида продукции, подтверждающим качество продукции, оформленными в соответствии с действующим законодательством РФ. Вышеуказанные документы должны предоставляться на каждую партию продукции. Копии сертификатов должны быть заверены подписью и печатью, содержать следующие сведения: Ф.И.О. лица, заверившего сертификат, должность, наименование предприятия.</w:t>
      </w:r>
    </w:p>
    <w:p w:rsidR="004919AF" w:rsidRPr="00BC1B52" w:rsidRDefault="004919AF" w:rsidP="00BC1B52">
      <w:pPr>
        <w:spacing w:line="240" w:lineRule="atLeast"/>
        <w:jc w:val="both"/>
        <w:rPr>
          <w:rFonts w:ascii="Times New Roman" w:hAnsi="Times New Roman" w:cs="Times New Roman"/>
        </w:rPr>
      </w:pPr>
      <w:r w:rsidRPr="00BC1B52">
        <w:rPr>
          <w:rFonts w:ascii="Times New Roman" w:hAnsi="Times New Roman" w:cs="Times New Roman"/>
        </w:rPr>
        <w:t xml:space="preserve">    - Продукция должна отгружаться Поставщиком </w:t>
      </w:r>
      <w:proofErr w:type="gramStart"/>
      <w:r w:rsidRPr="00BC1B52">
        <w:rPr>
          <w:rFonts w:ascii="Times New Roman" w:hAnsi="Times New Roman" w:cs="Times New Roman"/>
        </w:rPr>
        <w:t>в таре</w:t>
      </w:r>
      <w:proofErr w:type="gramEnd"/>
      <w:r w:rsidRPr="00BC1B52">
        <w:rPr>
          <w:rFonts w:ascii="Times New Roman" w:hAnsi="Times New Roman" w:cs="Times New Roman"/>
        </w:rPr>
        <w:t xml:space="preserve"> обеспечивающей полную сохранность груза от всякого рода повреждений, порчи при его перевозке.</w:t>
      </w:r>
    </w:p>
    <w:p w:rsidR="004919AF" w:rsidRPr="00BC1B52" w:rsidRDefault="004919AF" w:rsidP="00BC1B52">
      <w:pPr>
        <w:spacing w:line="240" w:lineRule="atLeast"/>
        <w:jc w:val="both"/>
        <w:rPr>
          <w:rFonts w:ascii="Times New Roman" w:hAnsi="Times New Roman" w:cs="Times New Roman"/>
        </w:rPr>
      </w:pPr>
      <w:r w:rsidRPr="00BC1B52">
        <w:rPr>
          <w:rFonts w:ascii="Times New Roman" w:hAnsi="Times New Roman" w:cs="Times New Roman"/>
        </w:rPr>
        <w:t xml:space="preserve">     - Одновременно с товаром Поставщик обязан предоставить Покупателю надлежащим образом оформленные документы: товарные накладные, счет-</w:t>
      </w:r>
      <w:proofErr w:type="gramStart"/>
      <w:r w:rsidRPr="00BC1B52">
        <w:rPr>
          <w:rFonts w:ascii="Times New Roman" w:hAnsi="Times New Roman" w:cs="Times New Roman"/>
        </w:rPr>
        <w:t>фактуру,  документы</w:t>
      </w:r>
      <w:proofErr w:type="gramEnd"/>
      <w:r w:rsidRPr="00BC1B52">
        <w:rPr>
          <w:rFonts w:ascii="Times New Roman" w:hAnsi="Times New Roman" w:cs="Times New Roman"/>
        </w:rPr>
        <w:t xml:space="preserve"> подтверждающие качество товара.</w:t>
      </w:r>
    </w:p>
    <w:p w:rsidR="00913488" w:rsidRPr="00BC1B52" w:rsidRDefault="00913488" w:rsidP="00BC1B52">
      <w:pPr>
        <w:spacing w:line="240" w:lineRule="atLeast"/>
        <w:jc w:val="both"/>
        <w:rPr>
          <w:rFonts w:ascii="Times New Roman" w:hAnsi="Times New Roman" w:cs="Times New Roman"/>
        </w:rPr>
      </w:pPr>
      <w:r w:rsidRPr="00BC1B52">
        <w:rPr>
          <w:rFonts w:ascii="Times New Roman" w:hAnsi="Times New Roman" w:cs="Times New Roman"/>
        </w:rPr>
        <w:t xml:space="preserve">      - Производство России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5093"/>
      </w:tblGrid>
      <w:tr w:rsidR="004919AF" w:rsidRPr="00BC1B52" w:rsidTr="00AF3F1A">
        <w:trPr>
          <w:trHeight w:val="1131"/>
        </w:trPr>
        <w:tc>
          <w:tcPr>
            <w:tcW w:w="5275" w:type="dxa"/>
            <w:tcBorders>
              <w:top w:val="nil"/>
              <w:left w:val="nil"/>
              <w:bottom w:val="nil"/>
              <w:right w:val="nil"/>
            </w:tcBorders>
            <w:hideMark/>
          </w:tcPr>
          <w:p w:rsidR="004919AF" w:rsidRPr="00BC1B52" w:rsidRDefault="004919AF" w:rsidP="00AF3F1A">
            <w:pPr>
              <w:rPr>
                <w:rFonts w:ascii="Times New Roman" w:hAnsi="Times New Roman" w:cs="Times New Roman"/>
              </w:rPr>
            </w:pPr>
            <w:r w:rsidRPr="00BC1B52">
              <w:rPr>
                <w:rFonts w:ascii="Times New Roman" w:hAnsi="Times New Roman" w:cs="Times New Roman"/>
                <w:b/>
              </w:rPr>
              <w:t>Поставщик:</w:t>
            </w:r>
          </w:p>
          <w:p w:rsidR="004919AF" w:rsidRPr="00BC1B52" w:rsidRDefault="004919AF" w:rsidP="00AF3F1A">
            <w:pPr>
              <w:rPr>
                <w:rFonts w:ascii="Times New Roman" w:hAnsi="Times New Roman" w:cs="Times New Roman"/>
              </w:rPr>
            </w:pPr>
          </w:p>
          <w:p w:rsidR="004919AF" w:rsidRPr="00BC1B52" w:rsidRDefault="004919AF" w:rsidP="00AF3F1A">
            <w:pPr>
              <w:rPr>
                <w:rFonts w:ascii="Times New Roman" w:hAnsi="Times New Roman" w:cs="Times New Roman"/>
              </w:rPr>
            </w:pPr>
          </w:p>
          <w:p w:rsidR="004919AF" w:rsidRPr="00BC1B52" w:rsidRDefault="004919AF" w:rsidP="004919AF">
            <w:pPr>
              <w:rPr>
                <w:rFonts w:ascii="Times New Roman" w:hAnsi="Times New Roman" w:cs="Times New Roman"/>
              </w:rPr>
            </w:pPr>
            <w:r w:rsidRPr="00BC1B52">
              <w:rPr>
                <w:rFonts w:ascii="Times New Roman" w:hAnsi="Times New Roman" w:cs="Times New Roman"/>
              </w:rPr>
              <w:t xml:space="preserve">_________________________/                     /                                          </w:t>
            </w:r>
          </w:p>
        </w:tc>
        <w:tc>
          <w:tcPr>
            <w:tcW w:w="5093" w:type="dxa"/>
            <w:tcBorders>
              <w:top w:val="nil"/>
              <w:left w:val="nil"/>
              <w:bottom w:val="nil"/>
              <w:right w:val="nil"/>
            </w:tcBorders>
          </w:tcPr>
          <w:p w:rsidR="004919AF" w:rsidRPr="00BC1B52" w:rsidRDefault="004919AF" w:rsidP="00AF3F1A">
            <w:pPr>
              <w:rPr>
                <w:rFonts w:ascii="Times New Roman" w:hAnsi="Times New Roman" w:cs="Times New Roman"/>
              </w:rPr>
            </w:pPr>
            <w:r w:rsidRPr="00BC1B52">
              <w:rPr>
                <w:rFonts w:ascii="Times New Roman" w:hAnsi="Times New Roman" w:cs="Times New Roman"/>
                <w:b/>
              </w:rPr>
              <w:t>Покупатель:</w:t>
            </w:r>
            <w:r w:rsidRPr="00BC1B52">
              <w:rPr>
                <w:rFonts w:ascii="Times New Roman" w:hAnsi="Times New Roman" w:cs="Times New Roman"/>
              </w:rPr>
              <w:t xml:space="preserve">                                                         </w:t>
            </w:r>
          </w:p>
          <w:p w:rsidR="004919AF" w:rsidRPr="00BC1B52" w:rsidRDefault="004919AF" w:rsidP="00AF3F1A">
            <w:pPr>
              <w:rPr>
                <w:rFonts w:ascii="Times New Roman" w:hAnsi="Times New Roman" w:cs="Times New Roman"/>
                <w:b/>
                <w:u w:val="single"/>
              </w:rPr>
            </w:pPr>
            <w:r w:rsidRPr="00BC1B52">
              <w:rPr>
                <w:rFonts w:ascii="Times New Roman" w:hAnsi="Times New Roman" w:cs="Times New Roman"/>
                <w:b/>
                <w:u w:val="single"/>
              </w:rPr>
              <w:t>АО «Завод «Прибор»</w:t>
            </w:r>
          </w:p>
          <w:p w:rsidR="004919AF" w:rsidRPr="00BC1B52" w:rsidRDefault="004919AF" w:rsidP="00AF3F1A">
            <w:pPr>
              <w:rPr>
                <w:rFonts w:ascii="Times New Roman" w:hAnsi="Times New Roman" w:cs="Times New Roman"/>
              </w:rPr>
            </w:pPr>
            <w:r w:rsidRPr="00BC1B52">
              <w:rPr>
                <w:rFonts w:ascii="Times New Roman" w:hAnsi="Times New Roman" w:cs="Times New Roman"/>
              </w:rPr>
              <w:t>Генеральный директор</w:t>
            </w:r>
          </w:p>
          <w:p w:rsidR="004919AF" w:rsidRPr="00BC1B52" w:rsidRDefault="004919AF" w:rsidP="00AF3F1A">
            <w:pPr>
              <w:rPr>
                <w:rFonts w:ascii="Times New Roman" w:hAnsi="Times New Roman" w:cs="Times New Roman"/>
              </w:rPr>
            </w:pPr>
            <w:r w:rsidRPr="00BC1B52">
              <w:rPr>
                <w:rFonts w:ascii="Times New Roman" w:hAnsi="Times New Roman" w:cs="Times New Roman"/>
              </w:rPr>
              <w:t xml:space="preserve"> __________________  /Санников А.М./</w:t>
            </w:r>
          </w:p>
        </w:tc>
      </w:tr>
    </w:tbl>
    <w:p w:rsidR="004919AF" w:rsidRPr="00BC1B52" w:rsidRDefault="004919AF" w:rsidP="004919AF">
      <w:pPr>
        <w:rPr>
          <w:rFonts w:ascii="Times New Roman" w:hAnsi="Times New Roman" w:cs="Times New Roman"/>
        </w:rPr>
      </w:pPr>
    </w:p>
    <w:sectPr w:rsidR="004919AF" w:rsidRPr="00BC1B52" w:rsidSect="0091348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47"/>
    <w:rsid w:val="00031DC6"/>
    <w:rsid w:val="00277247"/>
    <w:rsid w:val="004919AF"/>
    <w:rsid w:val="005D1C86"/>
    <w:rsid w:val="00603DF9"/>
    <w:rsid w:val="006E1D58"/>
    <w:rsid w:val="00913488"/>
    <w:rsid w:val="00BC1B52"/>
    <w:rsid w:val="00F9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AD74"/>
  <w15:docId w15:val="{53A2ADC9-42B0-410E-999E-E65797D8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2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Булет1,1Булет"/>
    <w:basedOn w:val="a"/>
    <w:link w:val="a4"/>
    <w:uiPriority w:val="34"/>
    <w:qFormat/>
    <w:rsid w:val="004919AF"/>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Булет1 Знак,1Булет Знак"/>
    <w:link w:val="a3"/>
    <w:uiPriority w:val="34"/>
    <w:rsid w:val="004919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 Игорь Александрович</dc:creator>
  <cp:lastModifiedBy>Дюрягина Лилия Григорьевна</cp:lastModifiedBy>
  <cp:revision>8</cp:revision>
  <dcterms:created xsi:type="dcterms:W3CDTF">2023-07-26T07:18:00Z</dcterms:created>
  <dcterms:modified xsi:type="dcterms:W3CDTF">2025-12-09T08:49:00Z</dcterms:modified>
</cp:coreProperties>
</file>