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385872 № T23059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2025-12-08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Ключ 7811-0191 2 покрытие  Хим.Фос.прм гаечный односторонний S=175мм укороченный Lобщ = 690мм ГОСТ 3108 - 6 шт.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T23059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2025-12-01 15:19:39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https://comm.estp.ru/commercial/tender/23059/bids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АО "ТЯЖМАШ"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6325000660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632501001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1026303055217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446010, Самарская обл, г Сызрань, ул Гидротурбинная, зд 13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446010, Самарская обл, г Сызрань, ул. Гидротурбинная, д.13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846|4378999|4201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T23059-1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Ключ 7811-0191 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63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446010, Самарская обл, г Сызрань, ул Гидротурбинная, зд 13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6,00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Штука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 не  состоявшейся. конкурентная закупка признана несостоявшейся в связи с тем, что не подано ни одной заявки на участие в закупке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 не 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